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B0DA" w14:textId="23784973" w:rsidR="00CE3AC2" w:rsidRPr="00D36371" w:rsidRDefault="00CE3AC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D3637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Specialized Rehabilitation </w:t>
                            </w:r>
                          </w:p>
                          <w:p w14:paraId="152864B2" w14:textId="5D3C9776" w:rsidR="00E4366C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D3637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  <w:bookmarkStart w:id="0" w:name="_GoBack"/>
                            <w:bookmarkEnd w:id="0"/>
                          </w:p>
                          <w:p w14:paraId="788B7BFB" w14:textId="3B6D9DD4" w:rsidR="00D36371" w:rsidRPr="00DC78E1" w:rsidRDefault="00D3637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C78E1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479B0DA" w14:textId="23784973" w:rsidR="00CE3AC2" w:rsidRPr="00D36371" w:rsidRDefault="00CE3AC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D3637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Specialized Rehabilitation </w:t>
                      </w:r>
                    </w:p>
                    <w:p w14:paraId="152864B2" w14:textId="5D3C9776" w:rsidR="00E4366C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D3637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  <w:bookmarkStart w:id="1" w:name="_GoBack"/>
                      <w:bookmarkEnd w:id="1"/>
                    </w:p>
                    <w:p w14:paraId="788B7BFB" w14:textId="3B6D9DD4" w:rsidR="00D36371" w:rsidRPr="00DC78E1" w:rsidRDefault="00D36371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C78E1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66C3E28" w14:textId="06FF27FD" w:rsidR="00F82128" w:rsidRDefault="00484844" w:rsidP="00F82128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5ADC89D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CE3AC2">
        <w:rPr>
          <w:rFonts w:ascii="Calibri" w:hAnsi="Calibri"/>
          <w:b/>
          <w:sz w:val="32"/>
        </w:rPr>
        <w:lastRenderedPageBreak/>
        <w:t>Specialized Rehabilitation Services</w:t>
      </w:r>
    </w:p>
    <w:tbl>
      <w:tblPr>
        <w:tblpPr w:leftFromText="180" w:rightFromText="180" w:vertAnchor="text" w:horzAnchor="margin" w:tblpXSpec="center" w:tblpY="234"/>
        <w:tblW w:w="4758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747"/>
        <w:gridCol w:w="3609"/>
        <w:gridCol w:w="3532"/>
      </w:tblGrid>
      <w:tr w:rsidR="00F82128" w:rsidRPr="00A17C09" w14:paraId="43675874" w14:textId="77777777" w:rsidTr="00CE3AC2">
        <w:trPr>
          <w:trHeight w:val="566"/>
        </w:trPr>
        <w:tc>
          <w:tcPr>
            <w:tcW w:w="5000" w:type="pct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262626" w:themeFill="text1" w:themeFillTint="D9"/>
          </w:tcPr>
          <w:p w14:paraId="11995BE7" w14:textId="121C87C0" w:rsidR="00F82128" w:rsidRPr="00A17C09" w:rsidRDefault="00F82128" w:rsidP="00602FCA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 w:rsidR="00CE3AC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Specialized Re</w:t>
            </w:r>
            <w:r w:rsidR="00277F8D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h</w:t>
            </w:r>
            <w:r w:rsidR="00CE3AC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abilitation Services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  </w:t>
            </w:r>
          </w:p>
        </w:tc>
      </w:tr>
      <w:tr w:rsidR="00F82128" w:rsidRPr="00A17C09" w14:paraId="3C26D028" w14:textId="77777777" w:rsidTr="00CE3AC2">
        <w:trPr>
          <w:trHeight w:val="129"/>
        </w:trPr>
        <w:tc>
          <w:tcPr>
            <w:tcW w:w="983" w:type="pct"/>
            <w:shd w:val="clear" w:color="auto" w:fill="262626" w:themeFill="text1" w:themeFillTint="D9"/>
          </w:tcPr>
          <w:p w14:paraId="6EB92212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4F5CF4C4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F82128" w:rsidRPr="00A17C09" w14:paraId="19CD7E37" w14:textId="77777777" w:rsidTr="00CE3AC2">
        <w:trPr>
          <w:trHeight w:val="1200"/>
        </w:trPr>
        <w:tc>
          <w:tcPr>
            <w:tcW w:w="983" w:type="pct"/>
            <w:shd w:val="clear" w:color="auto" w:fill="262626" w:themeFill="text1" w:themeFillTint="D9"/>
          </w:tcPr>
          <w:p w14:paraId="380C56EA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4C6F1451" w14:textId="0C84537C" w:rsidR="00F82128" w:rsidRPr="006C5A01" w:rsidRDefault="00277F8D" w:rsidP="00F82128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Describe how the</w:t>
            </w:r>
            <w:r w:rsidR="00F82128" w:rsidRPr="006C5A0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F82128">
              <w:rPr>
                <w:rFonts w:ascii="Calibri" w:eastAsia="Calibri" w:hAnsi="Calibri" w:cs="Calibri"/>
                <w:szCs w:val="24"/>
              </w:rPr>
              <w:t>Facility Assessment</w:t>
            </w:r>
            <w:r>
              <w:rPr>
                <w:rFonts w:ascii="Calibri" w:eastAsia="Calibri" w:hAnsi="Calibri" w:cs="Calibri"/>
                <w:szCs w:val="24"/>
              </w:rPr>
              <w:t xml:space="preserve"> is used with determining resources for Specialized Rehabilitation Services</w:t>
            </w:r>
          </w:p>
          <w:p w14:paraId="0AA9FCD2" w14:textId="17E86DBF" w:rsidR="00F82128" w:rsidRPr="00CE3AC2" w:rsidRDefault="00277F8D" w:rsidP="00F82128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Cs w:val="24"/>
              </w:rPr>
              <w:t>Describe who is included in “</w:t>
            </w:r>
            <w:r w:rsidR="00CE3AC2">
              <w:rPr>
                <w:rFonts w:ascii="Calibri" w:eastAsia="Calibri" w:hAnsi="Calibri" w:cs="Calibri"/>
                <w:szCs w:val="24"/>
              </w:rPr>
              <w:t>qualified personnel</w:t>
            </w:r>
            <w:r>
              <w:rPr>
                <w:rFonts w:ascii="Calibri" w:eastAsia="Calibri" w:hAnsi="Calibri" w:cs="Calibri"/>
                <w:szCs w:val="24"/>
              </w:rPr>
              <w:t>” for Specialized Rehabilitation Services</w:t>
            </w:r>
            <w:r w:rsidR="00CE3AC2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F82128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14:paraId="4B7BB8A8" w14:textId="77777777" w:rsidR="00CE3AC2" w:rsidRPr="00277F8D" w:rsidRDefault="00277F8D" w:rsidP="00F82128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Verbalize the requirement that</w:t>
            </w:r>
            <w:r w:rsidR="00CE3AC2">
              <w:rPr>
                <w:rFonts w:ascii="Calibri" w:eastAsia="Calibri" w:hAnsi="Calibri" w:cs="Calibri"/>
                <w:szCs w:val="22"/>
              </w:rPr>
              <w:t xml:space="preserve"> qualified personnel must have competencies and skill sets to care for residents as identified through resident assessment and described plan of care</w:t>
            </w:r>
          </w:p>
          <w:p w14:paraId="5C6B41F0" w14:textId="28F69C1B" w:rsidR="00277F8D" w:rsidRPr="00A17C09" w:rsidRDefault="00277F8D" w:rsidP="00F82128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Verbalize position responsibility with care plan interventions with Specialized Rehabilitation Services</w:t>
            </w:r>
          </w:p>
        </w:tc>
      </w:tr>
      <w:tr w:rsidR="00F82128" w:rsidRPr="00A17C09" w14:paraId="214E859D" w14:textId="77777777" w:rsidTr="00CE3AC2">
        <w:trPr>
          <w:trHeight w:val="1190"/>
        </w:trPr>
        <w:tc>
          <w:tcPr>
            <w:tcW w:w="983" w:type="pct"/>
            <w:shd w:val="clear" w:color="auto" w:fill="262626" w:themeFill="text1" w:themeFillTint="D9"/>
          </w:tcPr>
          <w:p w14:paraId="7B6FB847" w14:textId="77777777" w:rsidR="00F82128" w:rsidRPr="00A17C09" w:rsidRDefault="00F82128" w:rsidP="00602FCA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7FD73C2" w14:textId="70F24C36" w:rsidR="00F82128" w:rsidRPr="00225A43" w:rsidRDefault="00F82128" w:rsidP="00602FCA">
            <w:pPr>
              <w:rPr>
                <w:rFonts w:asciiTheme="minorHAnsi" w:hAnsiTheme="minorHAnsi"/>
                <w:szCs w:val="24"/>
              </w:rPr>
            </w:pPr>
            <w:r w:rsidRPr="006C5A01">
              <w:rPr>
                <w:rFonts w:asciiTheme="minorHAnsi" w:hAnsiTheme="minorHAnsi"/>
                <w:szCs w:val="24"/>
              </w:rPr>
              <w:t xml:space="preserve">The training is part of the overall project to educate and support nursing facility operators and staff regarding the requirements of participation for nursing homes as it relates to </w:t>
            </w:r>
            <w:r>
              <w:rPr>
                <w:rFonts w:asciiTheme="minorHAnsi" w:hAnsiTheme="minorHAnsi"/>
                <w:szCs w:val="24"/>
              </w:rPr>
              <w:t xml:space="preserve">the facility assessment requirements – </w:t>
            </w:r>
            <w:r w:rsidR="00CE3AC2">
              <w:rPr>
                <w:rFonts w:asciiTheme="minorHAnsi" w:hAnsiTheme="minorHAnsi"/>
                <w:szCs w:val="24"/>
              </w:rPr>
              <w:t>surrounding specialized rehabilitation services.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F82128" w:rsidRPr="00A17C09" w14:paraId="60A6318F" w14:textId="77777777" w:rsidTr="00CE3AC2">
        <w:trPr>
          <w:trHeight w:val="812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5C688AFC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31A8D32B" w14:textId="77777777" w:rsidR="00F82128" w:rsidRPr="00A17C09" w:rsidRDefault="00F82128" w:rsidP="00602FCA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6D4A0610" w14:textId="77777777" w:rsidR="00F82128" w:rsidRDefault="00F82128" w:rsidP="00F82128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Director of Nursing</w:t>
            </w:r>
          </w:p>
          <w:p w14:paraId="4BD77CF0" w14:textId="6A487A92" w:rsidR="00F82128" w:rsidRDefault="00F82128" w:rsidP="00F82128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Medical Director </w:t>
            </w:r>
          </w:p>
          <w:p w14:paraId="799317D0" w14:textId="5E9BF05F" w:rsidR="00CE3AC2" w:rsidRDefault="00CE3AC2" w:rsidP="00F82128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Nursing staff</w:t>
            </w:r>
          </w:p>
          <w:p w14:paraId="1D56D407" w14:textId="757E834E" w:rsidR="00CE3AC2" w:rsidRDefault="00CE3AC2" w:rsidP="00F82128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CNA staff</w:t>
            </w:r>
          </w:p>
          <w:p w14:paraId="3A32168E" w14:textId="68EF75D3" w:rsidR="00CE3AC2" w:rsidRPr="006C5A01" w:rsidRDefault="00CE3AC2" w:rsidP="00F82128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Therapy staff</w:t>
            </w:r>
          </w:p>
          <w:p w14:paraId="24E0D709" w14:textId="1CBD2A96" w:rsidR="00F82128" w:rsidRPr="00225A43" w:rsidRDefault="00F82128" w:rsidP="00F82128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Theme="minorHAnsi" w:hAnsiTheme="minorHAnsi"/>
                <w:szCs w:val="24"/>
              </w:rPr>
            </w:pPr>
            <w:r w:rsidRPr="006C5A01">
              <w:rPr>
                <w:rFonts w:asciiTheme="minorHAnsi" w:hAnsiTheme="minorHAnsi"/>
                <w:szCs w:val="24"/>
              </w:rPr>
              <w:t>IDT members</w:t>
            </w:r>
            <w:r w:rsidR="00CE3AC2">
              <w:rPr>
                <w:rFonts w:asciiTheme="minorHAnsi" w:hAnsiTheme="minorHAnsi"/>
                <w:szCs w:val="24"/>
              </w:rPr>
              <w:t xml:space="preserve"> per facility policy and procedure</w:t>
            </w:r>
          </w:p>
        </w:tc>
      </w:tr>
      <w:tr w:rsidR="00F82128" w:rsidRPr="00A17C09" w14:paraId="6B8541B8" w14:textId="77777777" w:rsidTr="00CE3AC2">
        <w:trPr>
          <w:trHeight w:val="700"/>
        </w:trPr>
        <w:tc>
          <w:tcPr>
            <w:tcW w:w="983" w:type="pct"/>
            <w:vMerge/>
            <w:shd w:val="clear" w:color="auto" w:fill="262626" w:themeFill="text1" w:themeFillTint="D9"/>
          </w:tcPr>
          <w:p w14:paraId="62C82B1D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342AF484" w14:textId="77777777" w:rsidR="00F82128" w:rsidRPr="00A17C09" w:rsidRDefault="00F82128" w:rsidP="00602FCA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05A6CFF9" w14:textId="34DBA5E3" w:rsidR="00F82128" w:rsidRPr="00CE3AC2" w:rsidRDefault="00F82128" w:rsidP="00CE3AC2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>No pre-requisite</w:t>
            </w:r>
          </w:p>
        </w:tc>
      </w:tr>
      <w:tr w:rsidR="00F82128" w:rsidRPr="00A17C09" w14:paraId="6FDE0116" w14:textId="77777777" w:rsidTr="00CE3AC2">
        <w:trPr>
          <w:trHeight w:val="592"/>
        </w:trPr>
        <w:tc>
          <w:tcPr>
            <w:tcW w:w="983" w:type="pct"/>
            <w:vMerge/>
            <w:shd w:val="clear" w:color="auto" w:fill="262626" w:themeFill="text1" w:themeFillTint="D9"/>
          </w:tcPr>
          <w:p w14:paraId="72372DDF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49E7B1EE" w14:textId="77777777" w:rsidR="00F82128" w:rsidRPr="00A17C09" w:rsidRDefault="00F82128" w:rsidP="00602FCA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5599299B" w14:textId="63356D6F" w:rsidR="00F82128" w:rsidRPr="004223D3" w:rsidRDefault="00F82128" w:rsidP="004223D3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Annually </w:t>
            </w:r>
            <w:r>
              <w:rPr>
                <w:rFonts w:ascii="Calibri" w:eastAsia="Calibri" w:hAnsi="Calibri" w:cs="Calibri"/>
                <w:szCs w:val="24"/>
              </w:rPr>
              <w:t>and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as needed </w:t>
            </w:r>
          </w:p>
        </w:tc>
      </w:tr>
      <w:tr w:rsidR="00F82128" w:rsidRPr="00A17C09" w14:paraId="68FF3957" w14:textId="77777777" w:rsidTr="00CE3AC2">
        <w:trPr>
          <w:trHeight w:val="634"/>
        </w:trPr>
        <w:tc>
          <w:tcPr>
            <w:tcW w:w="983" w:type="pct"/>
            <w:shd w:val="clear" w:color="auto" w:fill="262626" w:themeFill="text1" w:themeFillTint="D9"/>
          </w:tcPr>
          <w:p w14:paraId="32DCAAC5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5690121E" w14:textId="77777777" w:rsidR="00F82128" w:rsidRPr="00A17C09" w:rsidRDefault="00F82128" w:rsidP="00602FCA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(H</w:t>
            </w:r>
            <w:r w:rsidRPr="00A17C09"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ow many trainers should participate and who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m?</w:t>
            </w:r>
            <w:r w:rsidRPr="00A17C09"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7013FED5" w14:textId="77777777" w:rsidR="00F82128" w:rsidRPr="006C5A01" w:rsidRDefault="00F82128" w:rsidP="00602FCA">
            <w:pPr>
              <w:keepNext/>
              <w:keepLines/>
              <w:spacing w:line="276" w:lineRule="auto"/>
              <w:outlineLvl w:val="3"/>
              <w:rPr>
                <w:rFonts w:ascii="Calibri" w:hAnsi="Calibri" w:cs="Calibri"/>
                <w:bCs/>
                <w:iCs/>
                <w:szCs w:val="24"/>
              </w:rPr>
            </w:pPr>
            <w:r w:rsidRPr="006C5A01">
              <w:rPr>
                <w:rFonts w:ascii="Calibri" w:hAnsi="Calibri" w:cs="Calibri"/>
                <w:bCs/>
                <w:iCs/>
                <w:szCs w:val="24"/>
              </w:rPr>
              <w:t>One presenter will be needed to facilitate the presentation, discussion and post-test</w:t>
            </w:r>
          </w:p>
          <w:p w14:paraId="1A66FA81" w14:textId="77777777" w:rsidR="00F82128" w:rsidRDefault="00F82128" w:rsidP="00602FCA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  <w:p w14:paraId="7FE89B4C" w14:textId="77777777" w:rsidR="00F76AD8" w:rsidRDefault="00F76AD8" w:rsidP="00602FCA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  <w:p w14:paraId="5F20E36E" w14:textId="77777777" w:rsidR="00F76AD8" w:rsidRDefault="00F76AD8" w:rsidP="00602FCA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  <w:p w14:paraId="248D09A3" w14:textId="77777777" w:rsidR="00F76AD8" w:rsidRDefault="00F76AD8" w:rsidP="00602FCA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  <w:p w14:paraId="08E0EE22" w14:textId="77777777" w:rsidR="00F76AD8" w:rsidRDefault="00F76AD8" w:rsidP="00602FCA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  <w:p w14:paraId="2FBA0C51" w14:textId="77777777" w:rsidR="00F76AD8" w:rsidRDefault="00F76AD8" w:rsidP="00602FCA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  <w:p w14:paraId="4A242DD6" w14:textId="381C4619" w:rsidR="00F76AD8" w:rsidRPr="00A17C09" w:rsidRDefault="00F76AD8" w:rsidP="00602FCA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F82128" w:rsidRPr="00A17C09" w14:paraId="00350DFF" w14:textId="77777777" w:rsidTr="00CE3AC2">
        <w:trPr>
          <w:trHeight w:val="285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2247AD34" w14:textId="77777777" w:rsidR="00F82128" w:rsidRPr="006C5A01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  <w:lastRenderedPageBreak/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32CC5B44" w14:textId="77777777" w:rsidR="00F82128" w:rsidRPr="006C5A01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64D5FC18" w14:textId="77777777" w:rsidR="00F82128" w:rsidRPr="00A17C09" w:rsidRDefault="00F82128" w:rsidP="00602FCA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F82128" w:rsidRPr="00A17C09" w14:paraId="08FF0FF7" w14:textId="77777777" w:rsidTr="00CE3AC2">
        <w:trPr>
          <w:trHeight w:val="1839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66AAFC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13BA33A2" w14:textId="77777777" w:rsidR="00F82128" w:rsidRPr="00A17C09" w:rsidRDefault="00F82128" w:rsidP="00F82128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695B8487" w14:textId="77777777" w:rsidR="00F82128" w:rsidRPr="00A17C09" w:rsidRDefault="00F82128" w:rsidP="00F82128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76F827A8" w14:textId="54B0D275" w:rsidR="00F82128" w:rsidRPr="00A17C09" w:rsidRDefault="00F82128" w:rsidP="00F82128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Screen or other blank light</w:t>
            </w:r>
            <w:r w:rsidR="00CE3AC2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>colored surface</w:t>
            </w:r>
          </w:p>
        </w:tc>
        <w:tc>
          <w:tcPr>
            <w:tcW w:w="1987" w:type="pct"/>
            <w:shd w:val="clear" w:color="auto" w:fill="auto"/>
          </w:tcPr>
          <w:p w14:paraId="29164AAC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61941539" w14:textId="77777777" w:rsidR="00F82128" w:rsidRPr="00A17C09" w:rsidRDefault="00F82128" w:rsidP="00602FCA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49006F7D" w14:textId="30C1D811" w:rsidR="004223D3" w:rsidRDefault="004223D3" w:rsidP="004223D3">
      <w:pPr>
        <w:tabs>
          <w:tab w:val="left" w:pos="6450"/>
        </w:tabs>
        <w:spacing w:after="160" w:line="259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</w:p>
    <w:p w14:paraId="3C142B8E" w14:textId="68ACD1FB" w:rsidR="00F82128" w:rsidRDefault="00F82128" w:rsidP="00F82128">
      <w:pPr>
        <w:spacing w:after="160" w:line="259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Training References</w:t>
      </w:r>
    </w:p>
    <w:p w14:paraId="7BA5CB3F" w14:textId="5F53570D" w:rsidR="00277F8D" w:rsidRPr="00277F8D" w:rsidRDefault="00277F8D" w:rsidP="00277F8D">
      <w:pPr>
        <w:rPr>
          <w:rFonts w:asciiTheme="minorHAnsi" w:eastAsia="MS Mincho" w:hAnsiTheme="minorHAnsi" w:cstheme="minorHAnsi"/>
          <w:color w:val="0563C1" w:themeColor="hyperlink"/>
          <w:u w:val="single"/>
        </w:rPr>
      </w:pPr>
      <w:bookmarkStart w:id="2" w:name="_Hlk4761927"/>
      <w:r w:rsidRPr="00277F8D">
        <w:rPr>
          <w:rFonts w:asciiTheme="minorHAnsi" w:eastAsia="MS Mincho" w:hAnsiTheme="minorHAnsi" w:cstheme="minorHAnsi"/>
        </w:rPr>
        <w:t xml:space="preserve">Centers for Medicare &amp; Medicaid Services State Operations Manual, Appendix PP – Guidance to Surveyors for Long Term Care Facilities (Rev. 173, 11-22-17):  </w:t>
      </w:r>
      <w:hyperlink r:id="rId8" w:history="1">
        <w:r w:rsidRPr="00277F8D">
          <w:rPr>
            <w:rFonts w:asciiTheme="minorHAnsi" w:eastAsia="MS Mincho" w:hAnsiTheme="minorHAnsi" w:cstheme="minorHAnsi"/>
            <w:color w:val="0563C1" w:themeColor="hyperlink"/>
            <w:u w:val="single"/>
          </w:rPr>
          <w:t>https://www.cms.gov/Regulations-and-Guidance/Guidance/Manuals/downloads/som107ap_pp_guidelines_ltcf.pdf</w:t>
        </w:r>
      </w:hyperlink>
    </w:p>
    <w:p w14:paraId="1B3F84B6" w14:textId="77777777" w:rsidR="00277F8D" w:rsidRPr="00277F8D" w:rsidRDefault="00277F8D" w:rsidP="00277F8D">
      <w:pPr>
        <w:rPr>
          <w:rFonts w:asciiTheme="minorHAnsi" w:eastAsia="MS Mincho" w:hAnsiTheme="minorHAnsi" w:cstheme="minorHAnsi"/>
          <w:color w:val="0563C1" w:themeColor="hyperlink"/>
          <w:u w:val="single"/>
        </w:rPr>
      </w:pPr>
    </w:p>
    <w:p w14:paraId="22732560" w14:textId="77777777" w:rsidR="00277F8D" w:rsidRPr="00277F8D" w:rsidRDefault="00277F8D" w:rsidP="00277F8D">
      <w:pPr>
        <w:rPr>
          <w:rFonts w:asciiTheme="minorHAnsi" w:hAnsiTheme="minorHAnsi" w:cstheme="minorHAnsi"/>
        </w:rPr>
      </w:pPr>
      <w:r w:rsidRPr="00277F8D">
        <w:rPr>
          <w:rFonts w:asciiTheme="minorHAnsi" w:hAnsiTheme="minorHAnsi" w:cstheme="minorHAnsi"/>
        </w:rPr>
        <w:t xml:space="preserve">Centers for Medicare and Medicaid Services:  Specialized Rehabilitative or Restorative Services Critical Element Pathway, Form CMS 20080 (5/2017):   </w:t>
      </w:r>
      <w:hyperlink r:id="rId9" w:history="1">
        <w:r w:rsidRPr="00277F8D">
          <w:rPr>
            <w:rStyle w:val="Hyperlink"/>
            <w:rFonts w:asciiTheme="minorHAnsi" w:hAnsiTheme="minorHAnsi" w:cstheme="minorHAnsi"/>
          </w:rPr>
          <w:t>https://www.cms.gov/Medicare/Provider-Enrollment-and-Certification/GuidanceforLawsAndRegulations/Nursing-Homes.html</w:t>
        </w:r>
      </w:hyperlink>
    </w:p>
    <w:bookmarkEnd w:id="2"/>
    <w:p w14:paraId="44981A5C" w14:textId="77777777" w:rsidR="00F82128" w:rsidRPr="00A17C09" w:rsidRDefault="00F82128" w:rsidP="00F82128">
      <w:pPr>
        <w:spacing w:after="160" w:line="259" w:lineRule="auto"/>
        <w:rPr>
          <w:rFonts w:ascii="Calibri" w:hAnsi="Calibri"/>
          <w:b/>
          <w:szCs w:val="24"/>
        </w:rPr>
      </w:pPr>
    </w:p>
    <w:p w14:paraId="022F957D" w14:textId="273BCA4F" w:rsidR="00A86993" w:rsidRPr="00A86993" w:rsidRDefault="003C171A" w:rsidP="003C171A">
      <w:pPr>
        <w:spacing w:after="160" w:line="259" w:lineRule="auto"/>
        <w:rPr>
          <w:rFonts w:ascii="Calibri" w:hAnsi="Calibri"/>
          <w:b/>
          <w:sz w:val="32"/>
          <w:szCs w:val="32"/>
        </w:rPr>
      </w:pPr>
      <w:r w:rsidRPr="003C171A">
        <w:rPr>
          <w:rFonts w:ascii="Calibri" w:hAnsi="Calibri" w:cs="Calibri"/>
          <w:szCs w:val="24"/>
        </w:rPr>
        <w:t>Manufacturer’s Recommendations on equipment, adaptive equipment, supplies, etc.</w:t>
      </w:r>
    </w:p>
    <w:sectPr w:rsidR="00A86993" w:rsidRPr="00A86993" w:rsidSect="004223D3">
      <w:headerReference w:type="default" r:id="rId10"/>
      <w:footerReference w:type="default" r:id="rId11"/>
      <w:headerReference w:type="first" r:id="rId12"/>
      <w:pgSz w:w="12240" w:h="15840"/>
      <w:pgMar w:top="2160" w:right="1440" w:bottom="1440" w:left="1440" w:header="720" w:footer="5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7D08B" w14:textId="77777777" w:rsidR="002F4538" w:rsidRDefault="002F4538" w:rsidP="00FE158D">
      <w:r>
        <w:separator/>
      </w:r>
    </w:p>
  </w:endnote>
  <w:endnote w:type="continuationSeparator" w:id="0">
    <w:p w14:paraId="030872D8" w14:textId="77777777" w:rsidR="002F4538" w:rsidRDefault="002F4538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93258" w14:textId="77777777" w:rsidR="002F4538" w:rsidRDefault="002F4538" w:rsidP="00FE158D">
      <w:r>
        <w:separator/>
      </w:r>
    </w:p>
  </w:footnote>
  <w:footnote w:type="continuationSeparator" w:id="0">
    <w:p w14:paraId="45900BF8" w14:textId="77777777" w:rsidR="002F4538" w:rsidRDefault="002F4538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D4AF9"/>
    <w:multiLevelType w:val="hybridMultilevel"/>
    <w:tmpl w:val="0ADABDE4"/>
    <w:lvl w:ilvl="0" w:tplc="8096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E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6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4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2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9B023DF"/>
    <w:multiLevelType w:val="hybridMultilevel"/>
    <w:tmpl w:val="A06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0"/>
  </w:num>
  <w:num w:numId="24">
    <w:abstractNumId w:val="9"/>
  </w:num>
  <w:num w:numId="25">
    <w:abstractNumId w:val="18"/>
  </w:num>
  <w:num w:numId="26">
    <w:abstractNumId w:val="13"/>
  </w:num>
  <w:num w:numId="27">
    <w:abstractNumId w:val="19"/>
  </w:num>
  <w:num w:numId="28">
    <w:abstractNumId w:val="7"/>
  </w:num>
  <w:num w:numId="29">
    <w:abstractNumId w:val="23"/>
  </w:num>
  <w:num w:numId="30">
    <w:abstractNumId w:val="21"/>
  </w:num>
  <w:num w:numId="31">
    <w:abstractNumId w:val="32"/>
  </w:num>
  <w:num w:numId="32">
    <w:abstractNumId w:val="15"/>
  </w:num>
  <w:num w:numId="33">
    <w:abstractNumId w:val="33"/>
  </w:num>
  <w:num w:numId="34">
    <w:abstractNumId w:val="38"/>
  </w:num>
  <w:num w:numId="35">
    <w:abstractNumId w:val="25"/>
  </w:num>
  <w:num w:numId="36">
    <w:abstractNumId w:val="35"/>
  </w:num>
  <w:num w:numId="37">
    <w:abstractNumId w:val="3"/>
  </w:num>
  <w:num w:numId="38">
    <w:abstractNumId w:val="1"/>
  </w:num>
  <w:num w:numId="39">
    <w:abstractNumId w:val="27"/>
  </w:num>
  <w:num w:numId="40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14D76"/>
    <w:rsid w:val="00066D50"/>
    <w:rsid w:val="000D5B62"/>
    <w:rsid w:val="000E228A"/>
    <w:rsid w:val="000F7E90"/>
    <w:rsid w:val="00102A96"/>
    <w:rsid w:val="0012309D"/>
    <w:rsid w:val="00150E0F"/>
    <w:rsid w:val="00170AD2"/>
    <w:rsid w:val="00185739"/>
    <w:rsid w:val="001A22B2"/>
    <w:rsid w:val="002015B4"/>
    <w:rsid w:val="002376A2"/>
    <w:rsid w:val="002543C4"/>
    <w:rsid w:val="00277F8D"/>
    <w:rsid w:val="002C5F29"/>
    <w:rsid w:val="002D50F2"/>
    <w:rsid w:val="002D68EE"/>
    <w:rsid w:val="002F2B8A"/>
    <w:rsid w:val="002F4538"/>
    <w:rsid w:val="003011C7"/>
    <w:rsid w:val="00301AA8"/>
    <w:rsid w:val="00310FB6"/>
    <w:rsid w:val="0031633A"/>
    <w:rsid w:val="00317996"/>
    <w:rsid w:val="00372DF7"/>
    <w:rsid w:val="003734C7"/>
    <w:rsid w:val="00373CF0"/>
    <w:rsid w:val="003956E4"/>
    <w:rsid w:val="003A3E8D"/>
    <w:rsid w:val="003B0939"/>
    <w:rsid w:val="003C171A"/>
    <w:rsid w:val="003F0C77"/>
    <w:rsid w:val="00402197"/>
    <w:rsid w:val="004223D3"/>
    <w:rsid w:val="00484844"/>
    <w:rsid w:val="004A5374"/>
    <w:rsid w:val="004B74F9"/>
    <w:rsid w:val="00534CAA"/>
    <w:rsid w:val="0053732B"/>
    <w:rsid w:val="005438CB"/>
    <w:rsid w:val="00550FDC"/>
    <w:rsid w:val="00553DE7"/>
    <w:rsid w:val="00564708"/>
    <w:rsid w:val="00593E4B"/>
    <w:rsid w:val="005E546B"/>
    <w:rsid w:val="005F036A"/>
    <w:rsid w:val="006034EC"/>
    <w:rsid w:val="00603AC0"/>
    <w:rsid w:val="00605605"/>
    <w:rsid w:val="00610027"/>
    <w:rsid w:val="00611CE5"/>
    <w:rsid w:val="006218C2"/>
    <w:rsid w:val="006338B1"/>
    <w:rsid w:val="006A3CC2"/>
    <w:rsid w:val="006B2ED2"/>
    <w:rsid w:val="007251EF"/>
    <w:rsid w:val="0073698D"/>
    <w:rsid w:val="00783084"/>
    <w:rsid w:val="007A61F1"/>
    <w:rsid w:val="007F26C3"/>
    <w:rsid w:val="00805910"/>
    <w:rsid w:val="008259FB"/>
    <w:rsid w:val="008539B9"/>
    <w:rsid w:val="008B1350"/>
    <w:rsid w:val="008B1DBD"/>
    <w:rsid w:val="008E7224"/>
    <w:rsid w:val="00900408"/>
    <w:rsid w:val="009073EC"/>
    <w:rsid w:val="00930D40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25CC8"/>
    <w:rsid w:val="00A86993"/>
    <w:rsid w:val="00A9460A"/>
    <w:rsid w:val="00AA0211"/>
    <w:rsid w:val="00AB677E"/>
    <w:rsid w:val="00AC0FC3"/>
    <w:rsid w:val="00AE24A9"/>
    <w:rsid w:val="00B019EA"/>
    <w:rsid w:val="00B2429B"/>
    <w:rsid w:val="00B24FB4"/>
    <w:rsid w:val="00BB507F"/>
    <w:rsid w:val="00BB78E5"/>
    <w:rsid w:val="00BE00B9"/>
    <w:rsid w:val="00C0102E"/>
    <w:rsid w:val="00C170A5"/>
    <w:rsid w:val="00C71D53"/>
    <w:rsid w:val="00C80869"/>
    <w:rsid w:val="00CB0956"/>
    <w:rsid w:val="00CC2821"/>
    <w:rsid w:val="00CE3AC2"/>
    <w:rsid w:val="00CE786A"/>
    <w:rsid w:val="00D04340"/>
    <w:rsid w:val="00D062AE"/>
    <w:rsid w:val="00D36371"/>
    <w:rsid w:val="00D4410E"/>
    <w:rsid w:val="00DB6D68"/>
    <w:rsid w:val="00DB7A52"/>
    <w:rsid w:val="00DC40AB"/>
    <w:rsid w:val="00DC78E1"/>
    <w:rsid w:val="00DE7AF9"/>
    <w:rsid w:val="00E35D48"/>
    <w:rsid w:val="00E4366C"/>
    <w:rsid w:val="00E94EC6"/>
    <w:rsid w:val="00EA3BDE"/>
    <w:rsid w:val="00ED6153"/>
    <w:rsid w:val="00EF0A00"/>
    <w:rsid w:val="00EF0A61"/>
    <w:rsid w:val="00EF6331"/>
    <w:rsid w:val="00F346B7"/>
    <w:rsid w:val="00F76AD8"/>
    <w:rsid w:val="00F82128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7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Provider-Enrollment-and-Certification/GuidanceforLawsAndRegulations/Nursing-Home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F536-274C-4D94-B70C-0DD12C3E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6</cp:revision>
  <dcterms:created xsi:type="dcterms:W3CDTF">2019-05-07T12:59:00Z</dcterms:created>
  <dcterms:modified xsi:type="dcterms:W3CDTF">2019-05-09T17:10:00Z</dcterms:modified>
</cp:coreProperties>
</file>