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C0459" w14:textId="77777777" w:rsidR="00026C57" w:rsidRPr="00316A2F" w:rsidRDefault="0018375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16A2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Communication </w:t>
                            </w:r>
                          </w:p>
                          <w:p w14:paraId="152864B2" w14:textId="091FBBA1" w:rsidR="00E4366C" w:rsidRPr="00316A2F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16A2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216DB52E" w14:textId="1AE88BDB" w:rsidR="00026C57" w:rsidRPr="00026C57" w:rsidRDefault="00026C5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6C57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45C0459" w14:textId="77777777" w:rsidR="00026C57" w:rsidRPr="00316A2F" w:rsidRDefault="0018375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316A2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Communication </w:t>
                      </w:r>
                    </w:p>
                    <w:p w14:paraId="152864B2" w14:textId="091FBBA1" w:rsidR="00E4366C" w:rsidRPr="00316A2F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316A2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216DB52E" w14:textId="1AE88BDB" w:rsidR="00026C57" w:rsidRPr="00026C57" w:rsidRDefault="00026C57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6C57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1516A543" w:rsidR="00DE7AF9" w:rsidRDefault="00605605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18375D">
        <w:rPr>
          <w:rFonts w:ascii="Calibri" w:hAnsi="Calibri"/>
          <w:b/>
          <w:sz w:val="32"/>
        </w:rPr>
        <w:t>Communication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B1350" w:rsidRPr="008B1350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68E7767C" w:rsidR="00E4366C" w:rsidRPr="008B1350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 xml:space="preserve">Training Name:  </w:t>
            </w:r>
            <w:r w:rsidR="0077222A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Communication</w:t>
            </w:r>
          </w:p>
        </w:tc>
      </w:tr>
      <w:tr w:rsidR="008B1350" w:rsidRPr="008B1350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B1350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8B1350" w:rsidRPr="008B1350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18A69D4" w14:textId="6E3E5F32" w:rsidR="00BE00B9" w:rsidRPr="008B1350" w:rsidRDefault="00BE00B9" w:rsidP="00BE00B9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B1350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the importance of compliance with </w:t>
            </w:r>
            <w:r w:rsidR="0018375D">
              <w:rPr>
                <w:rFonts w:ascii="Calibri" w:eastAsia="Calibri" w:hAnsi="Calibri" w:cs="Calibri"/>
                <w:sz w:val="22"/>
                <w:szCs w:val="22"/>
              </w:rPr>
              <w:t xml:space="preserve">regulations for competency with </w:t>
            </w:r>
            <w:r w:rsidR="0077222A">
              <w:rPr>
                <w:rFonts w:ascii="Calibri" w:eastAsia="Calibri" w:hAnsi="Calibri" w:cs="Calibri"/>
                <w:sz w:val="22"/>
                <w:szCs w:val="22"/>
              </w:rPr>
              <w:t>communication</w:t>
            </w:r>
            <w:r w:rsidR="00183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0" w:name="_Hlk357656"/>
            <w:r w:rsidRPr="008B1350">
              <w:rPr>
                <w:rFonts w:ascii="Verdana" w:hAnsi="Verdana"/>
                <w:sz w:val="20"/>
              </w:rPr>
              <w:t xml:space="preserve"> </w:t>
            </w:r>
          </w:p>
          <w:bookmarkEnd w:id="0"/>
          <w:p w14:paraId="72992E30" w14:textId="53AD3C27" w:rsidR="0018375D" w:rsidRPr="0018375D" w:rsidRDefault="0077222A" w:rsidP="00AB1B6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4"/>
              </w:rPr>
              <w:t>Attendees will be able to verbalize interventions for communication for residents with identified deficits</w:t>
            </w:r>
            <w:bookmarkStart w:id="1" w:name="_GoBack"/>
            <w:bookmarkEnd w:id="1"/>
          </w:p>
          <w:p w14:paraId="2EB86B12" w14:textId="5DA096E9" w:rsidR="00BE00B9" w:rsidRPr="008B1350" w:rsidRDefault="0077222A" w:rsidP="0018375D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Attendees will verbalize expectations for verbal and written communication of resident condition, needs and follow up</w:t>
            </w:r>
          </w:p>
        </w:tc>
      </w:tr>
      <w:tr w:rsidR="008B1350" w:rsidRPr="008B1350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415EBAC1" w:rsidR="00E4366C" w:rsidRPr="008B1350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This training is part of the overall project to educate and support nursing facility operators and staff regarding the revised requirements of participation for nursing homes</w:t>
            </w:r>
            <w:r w:rsidR="008B1DBD" w:rsidRPr="008B1350">
              <w:rPr>
                <w:rFonts w:ascii="Calibri" w:eastAsia="Calibri" w:hAnsi="Calibri" w:cs="Calibri"/>
                <w:szCs w:val="24"/>
              </w:rPr>
              <w:t xml:space="preserve"> as it relates to </w:t>
            </w:r>
            <w:r w:rsidR="00E53085">
              <w:rPr>
                <w:rFonts w:ascii="Calibri" w:eastAsia="Calibri" w:hAnsi="Calibri" w:cs="Calibri"/>
                <w:szCs w:val="24"/>
              </w:rPr>
              <w:t>communication.</w:t>
            </w:r>
          </w:p>
        </w:tc>
      </w:tr>
      <w:tr w:rsidR="008B1350" w:rsidRPr="008B1350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Participants:</w:t>
            </w:r>
          </w:p>
          <w:p w14:paraId="64D90FF7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21AD7CC7" w:rsidR="00E4366C" w:rsidRPr="008B1350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 w:rsidRPr="008B1350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18375D">
              <w:rPr>
                <w:rFonts w:ascii="Calibri" w:eastAsia="Calibri" w:hAnsi="Calibri" w:cs="Calibri"/>
                <w:szCs w:val="24"/>
              </w:rPr>
              <w:t>nursing staff communication</w:t>
            </w:r>
          </w:p>
          <w:p w14:paraId="61035935" w14:textId="77777777" w:rsidR="00D04340" w:rsidRPr="008B1350" w:rsidRDefault="00E4366C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.</w:t>
            </w:r>
          </w:p>
          <w:p w14:paraId="568E18CB" w14:textId="210A1171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Participants:</w:t>
            </w:r>
          </w:p>
          <w:p w14:paraId="60FC3ADC" w14:textId="1971B5DF" w:rsidR="00E4366C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Nursing Staff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-</w:t>
            </w:r>
            <w:r w:rsidRPr="008B1350">
              <w:rPr>
                <w:rFonts w:ascii="Calibri" w:eastAsia="Calibri" w:hAnsi="Calibri" w:cs="Calibri"/>
                <w:szCs w:val="24"/>
              </w:rPr>
              <w:t>RN, LPN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,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Nursing Assistant</w:t>
            </w:r>
          </w:p>
          <w:p w14:paraId="6D11356C" w14:textId="6E5657D0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Interdisciplinary Team</w:t>
            </w:r>
            <w:r w:rsidR="003956E4" w:rsidRPr="008B1350">
              <w:rPr>
                <w:rFonts w:ascii="Calibri" w:eastAsia="Calibri" w:hAnsi="Calibri" w:cs="Calibri"/>
                <w:szCs w:val="24"/>
              </w:rPr>
              <w:t>-</w:t>
            </w:r>
            <w:r w:rsidR="00564708" w:rsidRPr="008B1350">
              <w:rPr>
                <w:rFonts w:ascii="Calibri" w:eastAsia="Calibri" w:hAnsi="Calibri" w:cs="Calibri"/>
                <w:szCs w:val="24"/>
              </w:rPr>
              <w:t>according to center policy regarding emergency procedure for hemorrhage and bleeding.</w:t>
            </w:r>
          </w:p>
          <w:p w14:paraId="366A514C" w14:textId="6C38FAD9" w:rsidR="00D04340" w:rsidRPr="008B1350" w:rsidRDefault="00D04340" w:rsidP="00D04340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8B1350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8B1350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8B1350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8B1350" w:rsidRPr="008B1350" w14:paraId="1AC4F4B0" w14:textId="77777777" w:rsidTr="00D04340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36D7F9A" w14:textId="1751437B" w:rsidR="008B1DBD" w:rsidRPr="008B1350" w:rsidRDefault="008B1DBD" w:rsidP="00D04340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Annually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 xml:space="preserve">, </w:t>
            </w:r>
            <w:r w:rsidRPr="008B1350">
              <w:rPr>
                <w:rFonts w:ascii="Calibri" w:eastAsia="Calibri" w:hAnsi="Calibri" w:cs="Calibri"/>
                <w:szCs w:val="24"/>
              </w:rPr>
              <w:t>new licensed nur</w:t>
            </w:r>
            <w:r w:rsidR="00D04340" w:rsidRPr="008B1350">
              <w:rPr>
                <w:rFonts w:ascii="Calibri" w:eastAsia="Calibri" w:hAnsi="Calibri" w:cs="Calibri"/>
                <w:szCs w:val="24"/>
              </w:rPr>
              <w:t>s</w:t>
            </w:r>
            <w:r w:rsidRPr="008B1350">
              <w:rPr>
                <w:rFonts w:ascii="Calibri" w:eastAsia="Calibri" w:hAnsi="Calibri" w:cs="Calibri"/>
                <w:szCs w:val="24"/>
              </w:rPr>
              <w:t>e hire and as needed</w:t>
            </w:r>
          </w:p>
        </w:tc>
      </w:tr>
      <w:tr w:rsidR="008B1350" w:rsidRPr="008B1350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i/>
                <w:szCs w:val="24"/>
              </w:rPr>
              <w:t>Facilitators:</w:t>
            </w:r>
          </w:p>
          <w:p w14:paraId="41C502B1" w14:textId="77777777" w:rsidR="00E4366C" w:rsidRPr="008B1350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Cs w:val="16"/>
              </w:rPr>
            </w:pP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>(How m</w:t>
            </w:r>
            <w:r w:rsidR="00317996" w:rsidRPr="008B1350">
              <w:rPr>
                <w:rFonts w:ascii="Calibri" w:eastAsia="Calibri" w:hAnsi="Calibri" w:cs="Calibri"/>
                <w:b/>
                <w:i/>
                <w:szCs w:val="16"/>
              </w:rPr>
              <w:t>any trainers should participate</w:t>
            </w:r>
            <w:r w:rsidRPr="008B1350">
              <w:rPr>
                <w:rFonts w:ascii="Calibri" w:eastAsia="Calibri" w:hAnsi="Calibri" w:cs="Calibri"/>
                <w:b/>
                <w:i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8B1350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8B1350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64FC666C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8B1350" w:rsidRPr="008B1350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3AF86104" w14:textId="77777777" w:rsidR="00026C57" w:rsidRDefault="00026C57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  <w:p w14:paraId="7FBC81F3" w14:textId="50F3FB31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  <w:r w:rsidRPr="008B1350">
              <w:rPr>
                <w:rFonts w:ascii="Calibri" w:eastAsia="Calibri" w:hAnsi="Calibri" w:cs="Calibri"/>
                <w:bCs/>
                <w:i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7ED9317" w14:textId="77777777" w:rsidR="00026C57" w:rsidRDefault="00026C57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1BA16583" w14:textId="77777777" w:rsidR="00026C57" w:rsidRDefault="00026C57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</w:p>
          <w:p w14:paraId="7DD246BA" w14:textId="7030CFD1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8B1350">
              <w:rPr>
                <w:rFonts w:ascii="Calibri" w:eastAsia="Calibri" w:hAnsi="Calibri" w:cs="Calibri"/>
                <w:i/>
                <w:szCs w:val="24"/>
              </w:rPr>
              <w:lastRenderedPageBreak/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77EC2CB" w14:textId="77777777" w:rsidR="00026C57" w:rsidRDefault="00026C57" w:rsidP="00026C57">
            <w:pPr>
              <w:pStyle w:val="ListParagraph"/>
              <w:keepNext/>
              <w:keepLines/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</w:p>
          <w:p w14:paraId="0596BA48" w14:textId="19C00B50" w:rsidR="00E4366C" w:rsidRPr="008B1350" w:rsidRDefault="0018375D" w:rsidP="0018375D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lastRenderedPageBreak/>
              <w:t xml:space="preserve">Communication </w:t>
            </w:r>
            <w:r w:rsidR="00D04340" w:rsidRPr="008B1350">
              <w:rPr>
                <w:rFonts w:ascii="Calibri" w:hAnsi="Calibri" w:cs="Calibri"/>
                <w:bCs/>
                <w:szCs w:val="24"/>
              </w:rPr>
              <w:t>slide presentation</w:t>
            </w:r>
          </w:p>
          <w:p w14:paraId="54836031" w14:textId="70A7F6CB" w:rsidR="003956E4" w:rsidRPr="008B1350" w:rsidRDefault="003956E4" w:rsidP="0018375D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Cs w:val="24"/>
              </w:rPr>
            </w:pPr>
            <w:r w:rsidRPr="008B1350">
              <w:rPr>
                <w:rFonts w:ascii="Calibri" w:hAnsi="Calibri" w:cs="Calibri"/>
                <w:bCs/>
                <w:szCs w:val="24"/>
              </w:rPr>
              <w:t>Attendance Sheet</w:t>
            </w:r>
          </w:p>
          <w:p w14:paraId="06F04CBA" w14:textId="45A5D2D9" w:rsidR="003956E4" w:rsidRPr="008B1350" w:rsidRDefault="003956E4" w:rsidP="0018375D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B1350" w:rsidRPr="008B1350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8B1350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8B1350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3645F7CF" w:rsidR="00E4366C" w:rsidRPr="008B1350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Screen or other blank </w:t>
            </w:r>
            <w:r w:rsidR="00AC68E6" w:rsidRPr="008B1350">
              <w:rPr>
                <w:rFonts w:ascii="Calibri" w:eastAsia="Calibri" w:hAnsi="Calibri" w:cs="Calibri"/>
                <w:szCs w:val="24"/>
              </w:rPr>
              <w:t>light-colored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559D4153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45A032A4" w14:textId="77777777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2DC39A31" w14:textId="77777777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43FF10C2" w14:textId="08EC941F" w:rsidR="003956E4" w:rsidRPr="008B1350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rPr>
                <w:rFonts w:ascii="Calibri" w:eastAsia="Calibri" w:hAnsi="Calibri" w:cs="Calibri"/>
                <w:szCs w:val="24"/>
              </w:rPr>
            </w:pPr>
            <w:r w:rsidRPr="008B1350">
              <w:rPr>
                <w:rFonts w:ascii="Calibri" w:eastAsia="Calibri" w:hAnsi="Calibri" w:cs="Calibri"/>
                <w:szCs w:val="24"/>
              </w:rPr>
              <w:t xml:space="preserve">Screen or other blank </w:t>
            </w:r>
            <w:r w:rsidR="00AC68E6" w:rsidRPr="008B1350">
              <w:rPr>
                <w:rFonts w:ascii="Calibri" w:eastAsia="Calibri" w:hAnsi="Calibri" w:cs="Calibri"/>
                <w:szCs w:val="24"/>
              </w:rPr>
              <w:t>light-colored</w:t>
            </w:r>
            <w:r w:rsidRPr="008B1350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0CDFF3E2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8B1350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D1226E2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0557F20E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2F34C0CA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2AB7718F" w14:textId="77777777" w:rsidR="00E53085" w:rsidRPr="00232A41" w:rsidRDefault="00E53085" w:rsidP="00E53085">
      <w:pPr>
        <w:pStyle w:val="NoSpacing"/>
        <w:rPr>
          <w:rFonts w:cstheme="minorHAnsi"/>
        </w:rPr>
      </w:pPr>
      <w:r w:rsidRPr="00232A41">
        <w:rPr>
          <w:rFonts w:cstheme="minorHAnsi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232A41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5A8C42E1" w14:textId="77777777" w:rsidR="00E53085" w:rsidRPr="00232A41" w:rsidRDefault="00E53085" w:rsidP="00E53085">
      <w:pPr>
        <w:pStyle w:val="NoSpacing"/>
        <w:rPr>
          <w:rFonts w:cstheme="minorHAnsi"/>
        </w:rPr>
      </w:pPr>
    </w:p>
    <w:p w14:paraId="51EE99F6" w14:textId="77777777" w:rsidR="00E53085" w:rsidRPr="00232A41" w:rsidRDefault="00E53085" w:rsidP="00E53085">
      <w:pPr>
        <w:pStyle w:val="NoSpacing"/>
        <w:rPr>
          <w:rStyle w:val="Hyperlink"/>
          <w:rFonts w:cstheme="minorHAnsi"/>
        </w:rPr>
      </w:pPr>
      <w:r w:rsidRPr="00232A41">
        <w:rPr>
          <w:rFonts w:cstheme="minorHAnsi"/>
        </w:rPr>
        <w:t xml:space="preserve">Centers for Medicare &amp; Medicaid Services Long-Term Care Facility Resident Assessment Instrument 3.0 User’s Manual, Version 1.16.  October 2018:  </w:t>
      </w:r>
      <w:hyperlink r:id="rId9" w:history="1">
        <w:r w:rsidRPr="00232A41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</w:p>
    <w:p w14:paraId="4995659B" w14:textId="77777777" w:rsidR="00E53085" w:rsidRPr="00232A41" w:rsidRDefault="00E53085" w:rsidP="00E53085">
      <w:pPr>
        <w:pStyle w:val="NoSpacing"/>
        <w:rPr>
          <w:rStyle w:val="Hyperlink"/>
          <w:rFonts w:cstheme="minorHAnsi"/>
        </w:rPr>
      </w:pPr>
    </w:p>
    <w:p w14:paraId="0367D317" w14:textId="77777777" w:rsidR="00E53085" w:rsidRPr="00232A41" w:rsidRDefault="00E53085" w:rsidP="00E53085">
      <w:pPr>
        <w:pStyle w:val="NoSpacing"/>
        <w:rPr>
          <w:rFonts w:cstheme="minorHAnsi"/>
        </w:rPr>
      </w:pPr>
      <w:bookmarkStart w:id="2" w:name="_Hlk1224508"/>
      <w:r w:rsidRPr="00232A41">
        <w:rPr>
          <w:rFonts w:cstheme="minorHAnsi"/>
        </w:rPr>
        <w:t>LTC Survey Pathways (Download)</w:t>
      </w:r>
    </w:p>
    <w:p w14:paraId="4119BC6C" w14:textId="77777777" w:rsidR="00E53085" w:rsidRPr="00232A41" w:rsidRDefault="00375415" w:rsidP="00E53085">
      <w:pPr>
        <w:pStyle w:val="NoSpacing"/>
        <w:rPr>
          <w:rStyle w:val="Hyperlink"/>
          <w:rFonts w:cstheme="minorHAnsi"/>
        </w:rPr>
      </w:pPr>
      <w:hyperlink r:id="rId10" w:history="1">
        <w:r w:rsidR="00E53085" w:rsidRPr="00232A41">
          <w:rPr>
            <w:rStyle w:val="Hyperlink"/>
            <w:rFonts w:cstheme="minorHAnsi"/>
          </w:rPr>
          <w:t>https://www.cms.gov/medicare/provider-enrollment-and-certification/guidanceforlawsandregulations/nursing-homes.html</w:t>
        </w:r>
      </w:hyperlink>
      <w:bookmarkEnd w:id="2"/>
    </w:p>
    <w:p w14:paraId="135E5560" w14:textId="77777777" w:rsidR="00E53085" w:rsidRDefault="00E53085" w:rsidP="00E53085">
      <w:pPr>
        <w:pStyle w:val="NoSpacing"/>
        <w:rPr>
          <w:rFonts w:cstheme="minorHAnsi"/>
        </w:rPr>
      </w:pPr>
    </w:p>
    <w:p w14:paraId="24FE0B0F" w14:textId="77777777" w:rsidR="00E53085" w:rsidRDefault="00E53085" w:rsidP="00E53085">
      <w:pPr>
        <w:pStyle w:val="NoSpacing"/>
        <w:rPr>
          <w:rFonts w:cstheme="minorHAnsi"/>
        </w:rPr>
      </w:pPr>
      <w:r w:rsidRPr="00232A41">
        <w:rPr>
          <w:rFonts w:cstheme="minorHAnsi"/>
        </w:rPr>
        <w:t>Centers for Medicare &amp; Medicaid Services</w:t>
      </w:r>
      <w:r>
        <w:rPr>
          <w:rFonts w:cstheme="minorHAnsi"/>
        </w:rPr>
        <w:t xml:space="preserve">.  CMS Survey and Certification Group.  Integrated Surveyor Training Website.  Facilitating Communication in Individuals with Neurological Disease Also Know as “Communicating Skills” Video:  </w:t>
      </w:r>
      <w:hyperlink r:id="rId11" w:history="1">
        <w:r w:rsidRPr="002D2996">
          <w:rPr>
            <w:rStyle w:val="Hyperlink"/>
            <w:rFonts w:cstheme="minorHAnsi"/>
          </w:rPr>
          <w:t>https://surveyortraining.cms.hhs.gov/pubs/VideoInformation.aspx?id=1035&amp;cid=0000002926</w:t>
        </w:r>
      </w:hyperlink>
      <w:r>
        <w:rPr>
          <w:rFonts w:cstheme="minorHAnsi"/>
        </w:rPr>
        <w:t xml:space="preserve"> </w:t>
      </w:r>
    </w:p>
    <w:p w14:paraId="40FB075B" w14:textId="77777777" w:rsidR="00E53085" w:rsidRDefault="00E53085" w:rsidP="00E53085">
      <w:pPr>
        <w:pStyle w:val="NoSpacing"/>
        <w:rPr>
          <w:rFonts w:cstheme="minorHAnsi"/>
        </w:rPr>
      </w:pPr>
    </w:p>
    <w:p w14:paraId="022F957D" w14:textId="5503D191" w:rsidR="00A86993" w:rsidRPr="00026C57" w:rsidRDefault="00E53085" w:rsidP="00026C57">
      <w:pPr>
        <w:pStyle w:val="NoSpacing"/>
        <w:rPr>
          <w:rFonts w:cstheme="minorHAnsi"/>
        </w:rPr>
      </w:pPr>
      <w:r w:rsidRPr="00232A41">
        <w:rPr>
          <w:rFonts w:cstheme="minorHAnsi"/>
        </w:rPr>
        <w:t>Centers for Medicare &amp; Medicaid Services</w:t>
      </w:r>
      <w:r>
        <w:rPr>
          <w:rFonts w:cstheme="minorHAnsi"/>
        </w:rPr>
        <w:t xml:space="preserve">.  Integrated Surveyor Training Website.  Hand in Hand:  A Training Series for Nursing Homes:  </w:t>
      </w:r>
      <w:hyperlink r:id="rId12" w:history="1">
        <w:r w:rsidRPr="002D2996">
          <w:rPr>
            <w:rStyle w:val="Hyperlink"/>
            <w:rFonts w:cstheme="minorHAnsi"/>
          </w:rPr>
          <w:t>https://surveyortraining.cms.hhs.gov/pubs/HandinHand.aspx</w:t>
        </w:r>
      </w:hyperlink>
      <w:r>
        <w:rPr>
          <w:rFonts w:cstheme="minorHAnsi"/>
        </w:rPr>
        <w:t xml:space="preserve"> </w:t>
      </w:r>
    </w:p>
    <w:sectPr w:rsidR="00A86993" w:rsidRPr="00026C57" w:rsidSect="00DE7AF9">
      <w:headerReference w:type="default" r:id="rId13"/>
      <w:footerReference w:type="default" r:id="rId14"/>
      <w:head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F481" w14:textId="77777777" w:rsidR="00375415" w:rsidRDefault="00375415" w:rsidP="00FE158D">
      <w:r>
        <w:separator/>
      </w:r>
    </w:p>
  </w:endnote>
  <w:endnote w:type="continuationSeparator" w:id="0">
    <w:p w14:paraId="0C5C8602" w14:textId="77777777" w:rsidR="00375415" w:rsidRDefault="0037541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326E" w14:textId="77777777" w:rsidR="00375415" w:rsidRDefault="00375415" w:rsidP="00FE158D">
      <w:r>
        <w:separator/>
      </w:r>
    </w:p>
  </w:footnote>
  <w:footnote w:type="continuationSeparator" w:id="0">
    <w:p w14:paraId="139B70EA" w14:textId="77777777" w:rsidR="00375415" w:rsidRDefault="0037541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32"/>
  </w:num>
  <w:num w:numId="34">
    <w:abstractNumId w:val="36"/>
  </w:num>
  <w:num w:numId="35">
    <w:abstractNumId w:val="25"/>
  </w:num>
  <w:num w:numId="36">
    <w:abstractNumId w:val="34"/>
  </w:num>
  <w:num w:numId="37">
    <w:abstractNumId w:val="3"/>
  </w:num>
  <w:num w:numId="3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6C57"/>
    <w:rsid w:val="00066D50"/>
    <w:rsid w:val="000D5B62"/>
    <w:rsid w:val="000E228A"/>
    <w:rsid w:val="000F7E90"/>
    <w:rsid w:val="00102A96"/>
    <w:rsid w:val="0012309D"/>
    <w:rsid w:val="00170AD2"/>
    <w:rsid w:val="0018375D"/>
    <w:rsid w:val="00185739"/>
    <w:rsid w:val="002015B4"/>
    <w:rsid w:val="002376A2"/>
    <w:rsid w:val="002C5F29"/>
    <w:rsid w:val="002D68EE"/>
    <w:rsid w:val="002F2B8A"/>
    <w:rsid w:val="003011C7"/>
    <w:rsid w:val="00301AA8"/>
    <w:rsid w:val="00310FB6"/>
    <w:rsid w:val="0031633A"/>
    <w:rsid w:val="00316A2F"/>
    <w:rsid w:val="00317996"/>
    <w:rsid w:val="00372DF7"/>
    <w:rsid w:val="003734C7"/>
    <w:rsid w:val="00373CF0"/>
    <w:rsid w:val="00375415"/>
    <w:rsid w:val="003956E4"/>
    <w:rsid w:val="003A3E8D"/>
    <w:rsid w:val="003B0939"/>
    <w:rsid w:val="003F0C77"/>
    <w:rsid w:val="00402197"/>
    <w:rsid w:val="00484844"/>
    <w:rsid w:val="004A5374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7251EF"/>
    <w:rsid w:val="0077222A"/>
    <w:rsid w:val="00783084"/>
    <w:rsid w:val="007A61F1"/>
    <w:rsid w:val="007F26C3"/>
    <w:rsid w:val="007F2F6E"/>
    <w:rsid w:val="00805910"/>
    <w:rsid w:val="008259FB"/>
    <w:rsid w:val="008B1350"/>
    <w:rsid w:val="008B1DBD"/>
    <w:rsid w:val="008E7224"/>
    <w:rsid w:val="008F059E"/>
    <w:rsid w:val="009073EC"/>
    <w:rsid w:val="00911CD2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AC68E6"/>
    <w:rsid w:val="00B019EA"/>
    <w:rsid w:val="00B24FB4"/>
    <w:rsid w:val="00BB507F"/>
    <w:rsid w:val="00BE00B9"/>
    <w:rsid w:val="00BE5DDB"/>
    <w:rsid w:val="00C0102E"/>
    <w:rsid w:val="00C170A5"/>
    <w:rsid w:val="00C71D53"/>
    <w:rsid w:val="00CB0956"/>
    <w:rsid w:val="00CC2821"/>
    <w:rsid w:val="00CE786A"/>
    <w:rsid w:val="00D04340"/>
    <w:rsid w:val="00D64B02"/>
    <w:rsid w:val="00DB6D68"/>
    <w:rsid w:val="00DB7A52"/>
    <w:rsid w:val="00DC40AB"/>
    <w:rsid w:val="00DE7AF9"/>
    <w:rsid w:val="00E4366C"/>
    <w:rsid w:val="00E53085"/>
    <w:rsid w:val="00E94EC6"/>
    <w:rsid w:val="00EC0595"/>
    <w:rsid w:val="00ED6153"/>
    <w:rsid w:val="00EF0A00"/>
    <w:rsid w:val="00F941A2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rveyortraining.cms.hhs.gov/pubs/HandinHand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ortraining.cms.hhs.gov/pubs/VideoInformation.aspx?id=1035&amp;cid=00000029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31AA-ACB3-4263-9B63-F939FFAE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2019-04-09T21:41:00Z</dcterms:created>
  <dcterms:modified xsi:type="dcterms:W3CDTF">2019-05-08T18:28:00Z</dcterms:modified>
</cp:coreProperties>
</file>