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2F3C" w14:textId="77777777" w:rsidR="0066597D" w:rsidRPr="00FF65DB" w:rsidRDefault="0066597D" w:rsidP="0066597D">
      <w:pPr>
        <w:jc w:val="center"/>
        <w:rPr>
          <w:rFonts w:cs="Arial"/>
          <w:b/>
        </w:rPr>
      </w:pPr>
      <w:r w:rsidRPr="009A6BC1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C14CB2" wp14:editId="73A82EF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E665" w14:textId="77777777" w:rsidR="0066597D" w:rsidRDefault="0066597D" w:rsidP="006659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81A74E" w14:textId="77777777" w:rsidR="0066597D" w:rsidRPr="00605605" w:rsidRDefault="0066597D" w:rsidP="006659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14C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9C6E665" w14:textId="77777777" w:rsidR="0066597D" w:rsidRDefault="0066597D" w:rsidP="0066597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81A74E" w14:textId="77777777" w:rsidR="0066597D" w:rsidRPr="00605605" w:rsidRDefault="0066597D" w:rsidP="0066597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9A6BC1">
        <w:rPr>
          <w:rFonts w:ascii="Calibri" w:hAnsi="Calibri"/>
          <w:b/>
          <w:noProof/>
          <w:sz w:val="32"/>
        </w:rPr>
        <w:t>CNA</w:t>
      </w:r>
      <w:r w:rsidRPr="009A6BC1">
        <w:rPr>
          <w:rFonts w:cs="Arial"/>
          <w:b/>
          <w:color w:val="FF0000"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Behavioral Health</w:t>
      </w:r>
    </w:p>
    <w:p w14:paraId="791196E8" w14:textId="77777777" w:rsidR="0066597D" w:rsidRPr="00FF65DB" w:rsidRDefault="0066597D" w:rsidP="0066597D">
      <w:pPr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11"/>
        <w:gridCol w:w="1779"/>
        <w:gridCol w:w="1800"/>
        <w:gridCol w:w="810"/>
        <w:gridCol w:w="810"/>
        <w:gridCol w:w="810"/>
        <w:gridCol w:w="810"/>
        <w:gridCol w:w="1800"/>
      </w:tblGrid>
      <w:tr w:rsidR="0066597D" w:rsidRPr="00FF65DB" w14:paraId="5D1C2D06" w14:textId="77777777" w:rsidTr="00E529C3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81E3536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9EC1C81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420E4A12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93C59C6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5B4CD479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2D80141A" w14:textId="77777777" w:rsidR="0066597D" w:rsidRPr="00A11ECE" w:rsidRDefault="0066597D" w:rsidP="00665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259003BC" w14:textId="77777777" w:rsidR="0066597D" w:rsidRPr="00A11ECE" w:rsidRDefault="0066597D" w:rsidP="00665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20EC186B" w14:textId="77777777" w:rsidR="0066597D" w:rsidRPr="00A11ECE" w:rsidRDefault="0066597D" w:rsidP="00665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1C71818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983353E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499E6882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66597D" w:rsidRPr="00FF65DB" w14:paraId="49DD0225" w14:textId="77777777" w:rsidTr="00E529C3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CF82B4E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77A206EE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1DF0D020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3A6D1240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0561E4B0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78EF9B3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30DFF9F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B146E6C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597D" w:rsidRPr="00FF65DB" w14:paraId="33BEE872" w14:textId="77777777" w:rsidTr="00E529C3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EA82846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541DCF4F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6A6E74A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C03B057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90C4C2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0D9276F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5CAA8D0" w14:textId="77777777" w:rsidR="0066597D" w:rsidRPr="00FF65DB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ABB0516" w14:textId="77777777" w:rsidR="0066597D" w:rsidRDefault="0066597D" w:rsidP="006659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597D" w:rsidRPr="00FF65DB" w14:paraId="6F14748B" w14:textId="77777777" w:rsidTr="0066597D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3DE833E2" w14:textId="77777777" w:rsidR="0066597D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CNAs</w:t>
            </w:r>
          </w:p>
          <w:p w14:paraId="101B301C" w14:textId="77777777" w:rsidR="0066597D" w:rsidRDefault="0066597D" w:rsidP="0066597D">
            <w:pPr>
              <w:pStyle w:val="Default"/>
              <w:ind w:left="1080" w:right="121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E114ED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7909FEBE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Define communication, including verbal and non-verbal formats and alternative communication techniques such as communication boards, cards, gestures, etc.</w:t>
            </w:r>
          </w:p>
        </w:tc>
        <w:tc>
          <w:tcPr>
            <w:tcW w:w="1779" w:type="dxa"/>
          </w:tcPr>
          <w:p w14:paraId="0F7EB63D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B21F55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CDC06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5B194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E61EF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3F104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261054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7758EB4F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EC7ED1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6DF30BE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Describe behaviors that promote communication between people</w:t>
            </w:r>
          </w:p>
        </w:tc>
        <w:tc>
          <w:tcPr>
            <w:tcW w:w="1779" w:type="dxa"/>
          </w:tcPr>
          <w:p w14:paraId="4B5DDB70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6AB83F8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6A618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2C746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7B412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7F60E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1B5D27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16382F87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948371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276AE98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factors that may block effective communication between the residents and their family and friends.</w:t>
            </w:r>
          </w:p>
        </w:tc>
        <w:tc>
          <w:tcPr>
            <w:tcW w:w="1779" w:type="dxa"/>
          </w:tcPr>
          <w:p w14:paraId="2E14E85E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3232E3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B2076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D285B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61412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0E716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9225C3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468EB3E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484127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9C4BFC2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factors that may block effective communication between residents and their family and friends.</w:t>
            </w:r>
          </w:p>
        </w:tc>
        <w:tc>
          <w:tcPr>
            <w:tcW w:w="1779" w:type="dxa"/>
          </w:tcPr>
          <w:p w14:paraId="6BFD6A96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3EEF90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D430D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61D9C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ED94C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720B3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25CE5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08BD9F91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8157FF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BDBFE47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factors that promote effective communication between CNAs and their immediate supervisors.</w:t>
            </w:r>
          </w:p>
        </w:tc>
        <w:tc>
          <w:tcPr>
            <w:tcW w:w="1779" w:type="dxa"/>
          </w:tcPr>
          <w:p w14:paraId="51B6BCD0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6A765B4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991D0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FB1B5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53A56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FC417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069751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6ECC2D9B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D9F379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1024ABB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Describe the procedures for answering resident call lights.</w:t>
            </w:r>
          </w:p>
        </w:tc>
        <w:tc>
          <w:tcPr>
            <w:tcW w:w="1779" w:type="dxa"/>
          </w:tcPr>
          <w:p w14:paraId="69DC8217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B779AC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7A7A4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B1941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8A125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EE55F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65C89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2E9F3A4E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9FE765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220FACB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Describe procedures for answering the facility telephone.</w:t>
            </w:r>
          </w:p>
        </w:tc>
        <w:tc>
          <w:tcPr>
            <w:tcW w:w="1779" w:type="dxa"/>
          </w:tcPr>
          <w:p w14:paraId="4E61EE01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1DF46A1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95CF8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46BD6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DD69C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2F715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A1D3C4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ACDAA2D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D8C7E2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1CF8FE2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techniques to communicate with the confused, withdrawn, depressed, restless, agitated, or combative residents.</w:t>
            </w:r>
          </w:p>
        </w:tc>
        <w:tc>
          <w:tcPr>
            <w:tcW w:w="1779" w:type="dxa"/>
          </w:tcPr>
          <w:p w14:paraId="12CF870E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E7CCF2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24A67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13417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C3D72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21304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4525F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70080556" w14:textId="77777777" w:rsidTr="0066597D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F06647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3488364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physical and psychosocial losses that may decrease independence.</w:t>
            </w:r>
          </w:p>
        </w:tc>
        <w:tc>
          <w:tcPr>
            <w:tcW w:w="1779" w:type="dxa"/>
          </w:tcPr>
          <w:p w14:paraId="1FE57796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1296A5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E0816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D2819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C3AC2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B0CDC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FD240A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03140D7C" w14:textId="77777777" w:rsidTr="0066597D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EC1A20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65712AF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aspects of independent living a person may lose when they resident in a long-term care facility.</w:t>
            </w:r>
          </w:p>
        </w:tc>
        <w:tc>
          <w:tcPr>
            <w:tcW w:w="1779" w:type="dxa"/>
          </w:tcPr>
          <w:p w14:paraId="418A833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9D909B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56431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58973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AD9B8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346AA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EB5B2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E8A01D9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355F15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3185F4B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positive techniques a CNA can use to promote the resident’s independence.</w:t>
            </w:r>
          </w:p>
        </w:tc>
        <w:tc>
          <w:tcPr>
            <w:tcW w:w="1779" w:type="dxa"/>
          </w:tcPr>
          <w:p w14:paraId="590C6BB4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C8CBFB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A3D2D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DBF8D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E52FA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632A9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667B0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6D8CC0AE" w14:textId="77777777" w:rsidTr="0066597D">
        <w:tc>
          <w:tcPr>
            <w:tcW w:w="2520" w:type="dxa"/>
            <w:vMerge/>
            <w:shd w:val="clear" w:color="auto" w:fill="F2F2F2" w:themeFill="background1" w:themeFillShade="F2"/>
          </w:tcPr>
          <w:p w14:paraId="6F75C0E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1376BE1B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choices available to the resident to gain the highest level of independence.</w:t>
            </w:r>
          </w:p>
        </w:tc>
        <w:tc>
          <w:tcPr>
            <w:tcW w:w="1779" w:type="dxa"/>
          </w:tcPr>
          <w:p w14:paraId="4D67D744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23BA342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6F9DF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0B4EB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D6A6D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CBEF2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A1C19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6A0F8D00" w14:textId="77777777" w:rsidTr="0066597D">
        <w:tc>
          <w:tcPr>
            <w:tcW w:w="2520" w:type="dxa"/>
            <w:vMerge/>
            <w:shd w:val="clear" w:color="auto" w:fill="F2F2F2" w:themeFill="background1" w:themeFillShade="F2"/>
          </w:tcPr>
          <w:p w14:paraId="4BC8B29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6D7853E6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the legal rights of the resident.</w:t>
            </w:r>
          </w:p>
        </w:tc>
        <w:tc>
          <w:tcPr>
            <w:tcW w:w="1779" w:type="dxa"/>
          </w:tcPr>
          <w:p w14:paraId="3C3780DC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8575DC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B462D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3FE47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2D4CD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EA1EF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BB1AB8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259D4F4C" w14:textId="77777777" w:rsidTr="0066597D">
        <w:tc>
          <w:tcPr>
            <w:tcW w:w="2520" w:type="dxa"/>
            <w:vMerge/>
            <w:shd w:val="clear" w:color="auto" w:fill="F2F2F2" w:themeFill="background1" w:themeFillShade="F2"/>
          </w:tcPr>
          <w:p w14:paraId="71A1232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DCF3795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Discuss ways to respect residents’ rights.</w:t>
            </w:r>
          </w:p>
        </w:tc>
        <w:tc>
          <w:tcPr>
            <w:tcW w:w="1779" w:type="dxa"/>
          </w:tcPr>
          <w:p w14:paraId="21943ED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F3BDE0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C097A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8743A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3B30E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D0534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17B59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0F11CE79" w14:textId="77777777" w:rsidTr="0066597D">
        <w:trPr>
          <w:trHeight w:val="593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EF7E55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2726D097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Demonstrate understanding that residents’ rights are the cornerstone of person-centered care.</w:t>
            </w:r>
          </w:p>
        </w:tc>
        <w:tc>
          <w:tcPr>
            <w:tcW w:w="1779" w:type="dxa"/>
          </w:tcPr>
          <w:p w14:paraId="171D065A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F8967D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615EF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85555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26DC9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EA6B3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A202AA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2D8F9CC6" w14:textId="77777777" w:rsidTr="0066597D">
        <w:trPr>
          <w:trHeight w:val="62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92A9E1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32FFEA04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Demonstrate provision of person-centered care daily.</w:t>
            </w:r>
          </w:p>
        </w:tc>
        <w:tc>
          <w:tcPr>
            <w:tcW w:w="1779" w:type="dxa"/>
          </w:tcPr>
          <w:p w14:paraId="1EC1797E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F5E88A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AE2DA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19A97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883A7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37AC1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D1C56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361D83B2" w14:textId="77777777" w:rsidTr="0066597D">
        <w:trPr>
          <w:trHeight w:val="62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97E17F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756B50B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the basic emotional needs of residents in a long-term care facility:</w:t>
            </w:r>
          </w:p>
          <w:p w14:paraId="3104C750" w14:textId="77777777" w:rsidR="0066597D" w:rsidRPr="002F769E" w:rsidRDefault="0066597D" w:rsidP="006659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Independence</w:t>
            </w:r>
          </w:p>
          <w:p w14:paraId="1F5F1684" w14:textId="77777777" w:rsidR="0066597D" w:rsidRPr="002F769E" w:rsidRDefault="0066597D" w:rsidP="006659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Supportive environment</w:t>
            </w:r>
          </w:p>
          <w:p w14:paraId="1DEF8040" w14:textId="77777777" w:rsidR="0066597D" w:rsidRPr="002F769E" w:rsidRDefault="0066597D" w:rsidP="006659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Social interaction</w:t>
            </w:r>
          </w:p>
          <w:p w14:paraId="0817D6DE" w14:textId="77777777" w:rsidR="0066597D" w:rsidRPr="002F769E" w:rsidRDefault="0066597D" w:rsidP="006659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Recognition as an individual</w:t>
            </w:r>
          </w:p>
          <w:p w14:paraId="159ABE4B" w14:textId="77777777" w:rsidR="0066597D" w:rsidRPr="002F769E" w:rsidRDefault="0066597D" w:rsidP="006659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Self-actualization</w:t>
            </w:r>
          </w:p>
        </w:tc>
        <w:tc>
          <w:tcPr>
            <w:tcW w:w="1779" w:type="dxa"/>
          </w:tcPr>
          <w:p w14:paraId="6C830D33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A9E421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59F07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6B51D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30411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3DAC8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40F9D9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027044D9" w14:textId="77777777" w:rsidTr="0066597D">
        <w:trPr>
          <w:trHeight w:val="62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552155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9095DA1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Demonstrate actions to meet the emotional needs of the resident.</w:t>
            </w:r>
          </w:p>
        </w:tc>
        <w:tc>
          <w:tcPr>
            <w:tcW w:w="1779" w:type="dxa"/>
          </w:tcPr>
          <w:p w14:paraId="5759DE13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2DA9710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6198C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2F84A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FFE90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9AC75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0DF529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4C4EE937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80DF21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3A0CBA6A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common behaviors displayed when emotional needs are not met.</w:t>
            </w:r>
          </w:p>
          <w:p w14:paraId="15585A7D" w14:textId="77777777" w:rsidR="0066597D" w:rsidRPr="002F769E" w:rsidRDefault="0066597D" w:rsidP="0066597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Anger</w:t>
            </w:r>
          </w:p>
          <w:p w14:paraId="7994290D" w14:textId="77777777" w:rsidR="0066597D" w:rsidRPr="002F769E" w:rsidRDefault="0066597D" w:rsidP="0066597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Demanding behavior</w:t>
            </w:r>
          </w:p>
          <w:p w14:paraId="43F7C80A" w14:textId="77777777" w:rsidR="0066597D" w:rsidRPr="002F769E" w:rsidRDefault="0066597D" w:rsidP="0066597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Self-centered behavior</w:t>
            </w:r>
          </w:p>
          <w:p w14:paraId="13C20C44" w14:textId="77777777" w:rsidR="0066597D" w:rsidRPr="002F769E" w:rsidRDefault="0066597D" w:rsidP="0066597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Withdrawal</w:t>
            </w:r>
          </w:p>
          <w:p w14:paraId="165D3E02" w14:textId="77777777" w:rsidR="0066597D" w:rsidRPr="002F769E" w:rsidRDefault="0066597D" w:rsidP="0066597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69E">
              <w:rPr>
                <w:rFonts w:asciiTheme="minorHAnsi" w:hAnsiTheme="minorHAnsi" w:cstheme="minorHAnsi"/>
                <w:sz w:val="22"/>
                <w:szCs w:val="22"/>
              </w:rPr>
              <w:t>Inappropriate sexual behavior</w:t>
            </w:r>
          </w:p>
        </w:tc>
        <w:tc>
          <w:tcPr>
            <w:tcW w:w="1779" w:type="dxa"/>
          </w:tcPr>
          <w:p w14:paraId="12209A23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7C5E82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68569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CFD08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80934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D9FE84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A9E0C6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7FDF1179" w14:textId="77777777" w:rsidTr="0066597D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A55D15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194D3287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Describe therapeutic intervention to respond to resident’s behavior.</w:t>
            </w:r>
          </w:p>
        </w:tc>
        <w:tc>
          <w:tcPr>
            <w:tcW w:w="1779" w:type="dxa"/>
          </w:tcPr>
          <w:p w14:paraId="41982DCC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621D34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B2773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9597C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ECC31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048D9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BB7A91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01F7190A" w14:textId="77777777" w:rsidTr="0066597D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BAE56A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A3F1CB5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Describe role of the person-centered care plan and care conferences in responding to resident’s behavior.</w:t>
            </w:r>
          </w:p>
        </w:tc>
        <w:tc>
          <w:tcPr>
            <w:tcW w:w="1779" w:type="dxa"/>
          </w:tcPr>
          <w:p w14:paraId="423D3601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14D8D9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3CDF4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4E53F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F8659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5E9F3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0F95E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0CB698E" w14:textId="77777777" w:rsidTr="0066597D">
        <w:trPr>
          <w:trHeight w:val="62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F883EB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28DBDC03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 xml:space="preserve">Discuss appropriate responses to perceived </w:t>
            </w:r>
            <w:r w:rsidRPr="002F769E">
              <w:rPr>
                <w:rFonts w:cstheme="minorHAnsi"/>
              </w:rPr>
              <w:lastRenderedPageBreak/>
              <w:t>sexual advances from a resident.</w:t>
            </w:r>
          </w:p>
        </w:tc>
        <w:tc>
          <w:tcPr>
            <w:tcW w:w="1779" w:type="dxa"/>
          </w:tcPr>
          <w:p w14:paraId="15943988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26FD31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0244D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18C9F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0825D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9FF27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4D26490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64B22B4A" w14:textId="77777777" w:rsidTr="0066597D">
        <w:trPr>
          <w:trHeight w:val="62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69D544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  <w:shd w:val="clear" w:color="auto" w:fill="auto"/>
          </w:tcPr>
          <w:p w14:paraId="7CB75D57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Define mental health and mental illness.</w:t>
            </w:r>
          </w:p>
        </w:tc>
        <w:tc>
          <w:tcPr>
            <w:tcW w:w="1779" w:type="dxa"/>
          </w:tcPr>
          <w:p w14:paraId="2184D73B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041B96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720BB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37616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A0045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D303E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849724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35958CB7" w14:textId="77777777" w:rsidTr="0066597D">
        <w:trPr>
          <w:trHeight w:val="647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2233AEBF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33C38857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Define developmental disability.</w:t>
            </w:r>
          </w:p>
        </w:tc>
        <w:tc>
          <w:tcPr>
            <w:tcW w:w="1779" w:type="dxa"/>
          </w:tcPr>
          <w:p w14:paraId="6F5238DC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05C462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FC5EA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C7D24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DAF50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F7552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38A8ED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3C5AA7E1" w14:textId="77777777" w:rsidTr="0066597D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4544297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62F6892C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Define intellectual disability.</w:t>
            </w:r>
          </w:p>
        </w:tc>
        <w:tc>
          <w:tcPr>
            <w:tcW w:w="1779" w:type="dxa"/>
          </w:tcPr>
          <w:p w14:paraId="26F954DF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639BA7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B33DB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52C70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AA50E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EF77D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1D4D0C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4467DE89" w14:textId="77777777" w:rsidTr="0066597D">
        <w:tc>
          <w:tcPr>
            <w:tcW w:w="2520" w:type="dxa"/>
            <w:vMerge/>
            <w:shd w:val="clear" w:color="auto" w:fill="F2F2F2" w:themeFill="background1" w:themeFillShade="F2"/>
          </w:tcPr>
          <w:p w14:paraId="7CE73C0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DF7AC58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 xml:space="preserve">Discuss methods to identify and to utilize the resident’s strengths </w:t>
            </w:r>
            <w:proofErr w:type="gramStart"/>
            <w:r w:rsidRPr="002F769E">
              <w:rPr>
                <w:rFonts w:cstheme="minorHAnsi"/>
              </w:rPr>
              <w:t>as a way to</w:t>
            </w:r>
            <w:proofErr w:type="gramEnd"/>
            <w:r w:rsidRPr="002F769E">
              <w:rPr>
                <w:rFonts w:cstheme="minorHAnsi"/>
              </w:rPr>
              <w:t xml:space="preserve"> reinforce appropriate behavior or toe reduce or to eliminate inappropriate behavior.</w:t>
            </w:r>
          </w:p>
        </w:tc>
        <w:tc>
          <w:tcPr>
            <w:tcW w:w="1779" w:type="dxa"/>
          </w:tcPr>
          <w:p w14:paraId="319B7BEB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4EDB8F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DCD5D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0435E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93C8F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D9259F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293351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47C4F92F" w14:textId="77777777" w:rsidTr="0066597D">
        <w:tc>
          <w:tcPr>
            <w:tcW w:w="2520" w:type="dxa"/>
            <w:vMerge/>
            <w:shd w:val="clear" w:color="auto" w:fill="F2F2F2" w:themeFill="background1" w:themeFillShade="F2"/>
          </w:tcPr>
          <w:p w14:paraId="5FD1164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735123FE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Discuss the role and responsibility of the CNA while caring for residents with ID/DD and mental illness.</w:t>
            </w:r>
          </w:p>
        </w:tc>
        <w:tc>
          <w:tcPr>
            <w:tcW w:w="1779" w:type="dxa"/>
          </w:tcPr>
          <w:p w14:paraId="0ADEC4EF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1F35A97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B30D4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1033F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A6F4F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102D8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7AE60D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14CBD900" w14:textId="77777777" w:rsidTr="0066597D">
        <w:trPr>
          <w:trHeight w:val="593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A985D9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724BC94A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Define depression.</w:t>
            </w:r>
          </w:p>
        </w:tc>
        <w:tc>
          <w:tcPr>
            <w:tcW w:w="1779" w:type="dxa"/>
          </w:tcPr>
          <w:p w14:paraId="60760EBF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2C20A0C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C4177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C59DD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B44A74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D14F4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FDAB7D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352FB554" w14:textId="77777777" w:rsidTr="0066597D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B508E5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C70B7E9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Identify signs and symptoms of depressed mood.</w:t>
            </w:r>
          </w:p>
        </w:tc>
        <w:tc>
          <w:tcPr>
            <w:tcW w:w="1779" w:type="dxa"/>
          </w:tcPr>
          <w:p w14:paraId="5B4C0A22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F2DA5C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3E6F1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3848A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48083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6FB56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8F8D6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312286F" w14:textId="77777777" w:rsidTr="0066597D">
        <w:trPr>
          <w:trHeight w:val="638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24C315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00E41BB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Describe the possible causes of depressed mood.</w:t>
            </w:r>
          </w:p>
        </w:tc>
        <w:tc>
          <w:tcPr>
            <w:tcW w:w="1779" w:type="dxa"/>
          </w:tcPr>
          <w:p w14:paraId="7DFC7C52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A3A6161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B6AF5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72568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6F624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19E55B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080AA4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D101C41" w14:textId="77777777" w:rsidTr="0066597D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AA609B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ECF475C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Discuss the role and responsibility of the CNA in caring for a resident with clinical depression or a depressed mood.</w:t>
            </w:r>
          </w:p>
        </w:tc>
        <w:tc>
          <w:tcPr>
            <w:tcW w:w="1779" w:type="dxa"/>
          </w:tcPr>
          <w:p w14:paraId="00F16FC3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9594F6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48DC4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380A6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F4E7F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74D77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379A73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553EA451" w14:textId="77777777" w:rsidTr="0066597D">
        <w:trPr>
          <w:trHeight w:val="69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4E18C374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270F0AD0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</w:rPr>
            </w:pPr>
            <w:r w:rsidRPr="002F769E">
              <w:rPr>
                <w:rFonts w:cstheme="minorHAnsi"/>
              </w:rPr>
              <w:t>Discuss possible interventions in caring for a resident with clinical depression or a depressed mood.</w:t>
            </w:r>
          </w:p>
        </w:tc>
        <w:tc>
          <w:tcPr>
            <w:tcW w:w="1779" w:type="dxa"/>
          </w:tcPr>
          <w:p w14:paraId="071EA6F5" w14:textId="77777777" w:rsidR="0066597D" w:rsidRPr="002F769E" w:rsidRDefault="0066597D" w:rsidP="0066597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DF7ACD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F8C6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AA176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505E9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4901E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FDB906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6EB65E6F" w14:textId="77777777" w:rsidTr="0066597D">
        <w:trPr>
          <w:trHeight w:val="557"/>
        </w:trPr>
        <w:tc>
          <w:tcPr>
            <w:tcW w:w="2520" w:type="dxa"/>
            <w:shd w:val="clear" w:color="auto" w:fill="F2F2F2" w:themeFill="background1" w:themeFillShade="F2"/>
          </w:tcPr>
          <w:p w14:paraId="5F32919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811" w:type="dxa"/>
          </w:tcPr>
          <w:p w14:paraId="32072EDC" w14:textId="77777777" w:rsidR="0066597D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589D76D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2BE472BE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12A0B0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AB6C9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7178A8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2E876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0DEB2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B03754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97D" w:rsidRPr="00FF65DB" w14:paraId="351E79CF" w14:textId="77777777" w:rsidTr="0066597D">
        <w:trPr>
          <w:trHeight w:val="593"/>
        </w:trPr>
        <w:tc>
          <w:tcPr>
            <w:tcW w:w="2520" w:type="dxa"/>
            <w:shd w:val="clear" w:color="auto" w:fill="F2F2F2" w:themeFill="background1" w:themeFillShade="F2"/>
          </w:tcPr>
          <w:p w14:paraId="6551B305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0A4DB9D6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62DEF33F" w14:textId="77777777" w:rsidR="0066597D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E26B40C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DD5E303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72BBD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9CE11A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746C8D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752959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C02A27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B1DE672" w14:textId="77777777" w:rsidR="0066597D" w:rsidRPr="00FF65DB" w:rsidRDefault="0066597D" w:rsidP="006659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D33BE3B" w14:textId="77777777" w:rsidR="0066597D" w:rsidRDefault="0066597D" w:rsidP="0066597D">
      <w:pPr>
        <w:spacing w:after="0" w:line="240" w:lineRule="auto"/>
        <w:rPr>
          <w:rFonts w:ascii="Arial" w:hAnsi="Arial" w:cs="Arial"/>
          <w:b/>
        </w:rPr>
      </w:pPr>
    </w:p>
    <w:p w14:paraId="7515DAF0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0"/>
        </w:rPr>
      </w:pPr>
    </w:p>
    <w:p w14:paraId="6A909786" w14:textId="77777777" w:rsidR="0066597D" w:rsidRDefault="0066597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D3924A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0"/>
        </w:rPr>
      </w:pPr>
    </w:p>
    <w:p w14:paraId="056FE2C3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0"/>
        </w:rPr>
      </w:pPr>
    </w:p>
    <w:p w14:paraId="627D0C9E" w14:textId="5CA01C70" w:rsidR="0066597D" w:rsidRDefault="0066597D" w:rsidP="0066597D">
      <w:pPr>
        <w:spacing w:after="0" w:line="240" w:lineRule="auto"/>
        <w:rPr>
          <w:rFonts w:ascii="Arial" w:hAnsi="Arial" w:cs="Arial"/>
          <w:b/>
          <w:sz w:val="20"/>
        </w:rPr>
      </w:pPr>
      <w:r w:rsidRPr="00462779">
        <w:rPr>
          <w:rFonts w:ascii="Arial" w:hAnsi="Arial" w:cs="Arial"/>
          <w:b/>
          <w:sz w:val="20"/>
        </w:rPr>
        <w:t>References</w:t>
      </w:r>
    </w:p>
    <w:p w14:paraId="7259E4BC" w14:textId="77777777" w:rsidR="0066597D" w:rsidRPr="00462779" w:rsidRDefault="0066597D" w:rsidP="0066597D">
      <w:pPr>
        <w:spacing w:after="0" w:line="240" w:lineRule="auto"/>
        <w:rPr>
          <w:rFonts w:ascii="Arial" w:hAnsi="Arial" w:cs="Arial"/>
          <w:b/>
          <w:sz w:val="20"/>
        </w:rPr>
      </w:pPr>
    </w:p>
    <w:p w14:paraId="7DA8EA3E" w14:textId="77777777" w:rsidR="0066597D" w:rsidRPr="00462779" w:rsidRDefault="0066597D" w:rsidP="0066597D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Fonts w:ascii="Arial" w:hAnsi="Arial" w:cs="Arial"/>
          <w:sz w:val="20"/>
        </w:rPr>
        <w:tab/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462779">
          <w:rPr>
            <w:rStyle w:val="Hyperlink"/>
            <w:rFonts w:ascii="Arial" w:hAnsi="Arial" w:cs="Arial"/>
            <w:sz w:val="20"/>
          </w:rPr>
          <w:t>https://www.cms.gov/Regulations-and-Guidance/Guidance/Manuals/downloads/som107ap_pp_guidelines_ltcf.pdf</w:t>
        </w:r>
      </w:hyperlink>
    </w:p>
    <w:p w14:paraId="542F46BB" w14:textId="77777777" w:rsidR="0066597D" w:rsidRPr="00462779" w:rsidRDefault="0066597D" w:rsidP="0066597D">
      <w:pPr>
        <w:pStyle w:val="Footer"/>
        <w:ind w:left="720"/>
        <w:rPr>
          <w:rStyle w:val="Hyperlink"/>
          <w:rFonts w:ascii="Arial" w:hAnsi="Arial" w:cs="Arial"/>
          <w:sz w:val="20"/>
        </w:rPr>
      </w:pPr>
    </w:p>
    <w:p w14:paraId="34B957AA" w14:textId="77777777" w:rsidR="0066597D" w:rsidRPr="00462779" w:rsidRDefault="0066597D" w:rsidP="0066597D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Style w:val="Hyperlink"/>
          <w:rFonts w:ascii="Arial" w:hAnsi="Arial" w:cs="Arial"/>
          <w:sz w:val="20"/>
        </w:rPr>
        <w:t xml:space="preserve">LTC Survey Pathways (Download) </w:t>
      </w:r>
      <w:r w:rsidRPr="00462779">
        <w:rPr>
          <w:rFonts w:ascii="Arial" w:hAnsi="Arial" w:cs="Arial"/>
          <w:sz w:val="20"/>
        </w:rPr>
        <w:t>CMS-2006</w:t>
      </w:r>
      <w:r>
        <w:rPr>
          <w:rFonts w:ascii="Arial" w:hAnsi="Arial" w:cs="Arial"/>
          <w:sz w:val="20"/>
        </w:rPr>
        <w:t>7</w:t>
      </w:r>
      <w:r w:rsidRPr="00462779">
        <w:rPr>
          <w:rFonts w:ascii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Behavior and Emotional Status Critical Element Pathway</w:t>
      </w:r>
      <w:r w:rsidRPr="00462779">
        <w:rPr>
          <w:rFonts w:ascii="Arial" w:hAnsi="Arial" w:cs="Arial"/>
          <w:sz w:val="20"/>
        </w:rPr>
        <w:t>”</w:t>
      </w:r>
    </w:p>
    <w:p w14:paraId="4564E588" w14:textId="77777777" w:rsidR="0066597D" w:rsidRDefault="0066597D" w:rsidP="0066597D">
      <w:pPr>
        <w:spacing w:after="0" w:line="240" w:lineRule="auto"/>
        <w:ind w:firstLine="720"/>
        <w:rPr>
          <w:rStyle w:val="Hyperlink"/>
          <w:rFonts w:ascii="Arial" w:hAnsi="Arial" w:cs="Arial"/>
          <w:sz w:val="20"/>
        </w:rPr>
      </w:pPr>
      <w:hyperlink r:id="rId8" w:history="1">
        <w:r w:rsidRPr="00D9078B">
          <w:rPr>
            <w:rStyle w:val="Hyperlink"/>
            <w:rFonts w:ascii="Arial" w:hAnsi="Arial" w:cs="Arial"/>
            <w:sz w:val="20"/>
          </w:rPr>
          <w:t>https://www.cms.gov/medicare/provider-enrollment-and-certification/guidanceforlawsandregulations/nursing-homes.html</w:t>
        </w:r>
      </w:hyperlink>
    </w:p>
    <w:p w14:paraId="4AC664E7" w14:textId="77777777" w:rsidR="0066597D" w:rsidRDefault="0066597D" w:rsidP="0066597D">
      <w:pPr>
        <w:spacing w:after="0" w:line="240" w:lineRule="auto"/>
        <w:ind w:firstLine="720"/>
        <w:rPr>
          <w:rStyle w:val="Hyperlink"/>
          <w:rFonts w:ascii="Arial" w:hAnsi="Arial" w:cs="Arial"/>
          <w:sz w:val="20"/>
        </w:rPr>
      </w:pPr>
    </w:p>
    <w:p w14:paraId="3819CB3C" w14:textId="77777777" w:rsidR="0066597D" w:rsidRDefault="0066597D" w:rsidP="0066597D">
      <w:pPr>
        <w:pStyle w:val="Footer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Ohio NATCEP Standards and Guidelines June 27, 2018 (Download)</w:t>
      </w:r>
    </w:p>
    <w:p w14:paraId="5096840E" w14:textId="77777777" w:rsidR="0066597D" w:rsidRDefault="0066597D" w:rsidP="0066597D">
      <w:pPr>
        <w:spacing w:after="0" w:line="240" w:lineRule="auto"/>
        <w:ind w:left="720"/>
        <w:rPr>
          <w:rFonts w:ascii="Arial" w:hAnsi="Arial" w:cs="Arial"/>
          <w:b/>
          <w:sz w:val="28"/>
        </w:rPr>
      </w:pPr>
      <w:hyperlink r:id="rId9" w:history="1">
        <w:r w:rsidRPr="00D9078B">
          <w:rPr>
            <w:rStyle w:val="Hyperlink"/>
            <w:rFonts w:ascii="Arial" w:hAnsi="Arial" w:cs="Arial"/>
            <w:sz w:val="20"/>
          </w:rPr>
          <w:t>https://odh.ohio.gov/wps/portal/gov/odh/know-our-programs/nurse-aide-training-and-competency-evaluation-program-natcep/resources/nacteptrainingstandardsandguideliens</w:t>
        </w:r>
      </w:hyperlink>
    </w:p>
    <w:p w14:paraId="3954DCF6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07AD94F9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2938D280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03F03B44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321E4D1C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4F8107DC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241750D9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2D856B13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7269945C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576D932B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2E140E5A" w14:textId="77777777" w:rsidR="0066597D" w:rsidRDefault="0066597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6B7618B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3B918D22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</w:p>
    <w:p w14:paraId="21B3BB4E" w14:textId="0425DCBA" w:rsidR="0066597D" w:rsidRPr="00686445" w:rsidRDefault="0066597D" w:rsidP="0066597D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07255B48" w14:textId="77777777" w:rsidR="0066597D" w:rsidRDefault="0066597D" w:rsidP="0066597D">
      <w:pPr>
        <w:spacing w:after="0" w:line="240" w:lineRule="auto"/>
        <w:rPr>
          <w:rFonts w:ascii="Arial" w:hAnsi="Arial" w:cs="Arial"/>
          <w:b/>
          <w:i/>
        </w:rPr>
      </w:pPr>
    </w:p>
    <w:p w14:paraId="3F2B989F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DAB12" wp14:editId="0B388B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8FAB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37F7E1E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162D6D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D970FC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ED04AD6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7D3E509" w14:textId="77777777" w:rsidR="0066597D" w:rsidRDefault="0066597D" w:rsidP="00665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AB12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9E78FAB" w14:textId="77777777" w:rsidR="0066597D" w:rsidRPr="00FF65DB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37F7E1E" w14:textId="77777777" w:rsidR="0066597D" w:rsidRPr="00FF65DB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162D6D" w14:textId="77777777" w:rsidR="0066597D" w:rsidRPr="00FF65DB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D970FC" w14:textId="77777777" w:rsidR="0066597D" w:rsidRPr="00FF65DB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ED04AD6" w14:textId="77777777" w:rsidR="0066597D" w:rsidRPr="00FF65DB" w:rsidRDefault="0066597D" w:rsidP="0066597D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7D3E509" w14:textId="77777777" w:rsidR="0066597D" w:rsidRDefault="0066597D" w:rsidP="0066597D"/>
                  </w:txbxContent>
                </v:textbox>
              </v:shape>
            </w:pict>
          </mc:Fallback>
        </mc:AlternateContent>
      </w:r>
    </w:p>
    <w:p w14:paraId="068ADFD6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8B9C094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91DAB35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3DE7FE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BF9F003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E797CEE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5BA8822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00559BF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9B1C8" wp14:editId="27660845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6FA5" w14:textId="79A5FB05" w:rsidR="0066597D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3C09B6FA" w14:textId="77777777" w:rsidR="0066597D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BD6AD6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B881AA" w14:textId="77777777" w:rsidR="0066597D" w:rsidRPr="00FF65DB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D531C25" w14:textId="77777777" w:rsidR="0066597D" w:rsidRPr="00F23217" w:rsidRDefault="0066597D" w:rsidP="006659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86B7290" w14:textId="77777777" w:rsidR="0066597D" w:rsidRDefault="0066597D" w:rsidP="00665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B1C8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092A6FA5" w14:textId="79A5FB05" w:rsidR="0066597D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3C09B6FA" w14:textId="77777777" w:rsidR="0066597D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BD6AD6" w14:textId="77777777" w:rsidR="0066597D" w:rsidRPr="00FF65DB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B881AA" w14:textId="77777777" w:rsidR="0066597D" w:rsidRPr="00FF65DB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D531C25" w14:textId="77777777" w:rsidR="0066597D" w:rsidRPr="00F23217" w:rsidRDefault="0066597D" w:rsidP="006659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86B7290" w14:textId="77777777" w:rsidR="0066597D" w:rsidRDefault="0066597D" w:rsidP="0066597D"/>
                  </w:txbxContent>
                </v:textbox>
              </v:shape>
            </w:pict>
          </mc:Fallback>
        </mc:AlternateContent>
      </w:r>
    </w:p>
    <w:p w14:paraId="68509C3F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7870F00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3577335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CEB63A4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D5A4493" w14:textId="77777777" w:rsidR="0066597D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DDF985A" w14:textId="77777777" w:rsidR="0066597D" w:rsidRDefault="0066597D" w:rsidP="0066597D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05E4A385" w14:textId="77777777" w:rsidR="0066597D" w:rsidRPr="00686445" w:rsidRDefault="0066597D" w:rsidP="0066597D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2F61CB4E" w14:textId="77777777" w:rsidR="0066597D" w:rsidRDefault="0066597D" w:rsidP="0066597D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083CB685" w14:textId="77777777" w:rsidR="00895110" w:rsidRDefault="00895110" w:rsidP="0066597D">
      <w:pPr>
        <w:spacing w:after="0" w:line="240" w:lineRule="auto"/>
      </w:pPr>
    </w:p>
    <w:sectPr w:rsidR="0089511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E31A" w14:textId="77777777" w:rsidR="009B28BA" w:rsidRDefault="009B28BA" w:rsidP="00041B40">
      <w:pPr>
        <w:spacing w:after="0" w:line="240" w:lineRule="auto"/>
      </w:pPr>
      <w:r>
        <w:separator/>
      </w:r>
    </w:p>
  </w:endnote>
  <w:endnote w:type="continuationSeparator" w:id="0">
    <w:p w14:paraId="0DDED22C" w14:textId="77777777" w:rsidR="009B28BA" w:rsidRDefault="009B28BA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897D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6CE949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CA8B868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4B02" w14:textId="77777777" w:rsidR="009B28BA" w:rsidRDefault="009B28BA" w:rsidP="00041B40">
      <w:pPr>
        <w:spacing w:after="0" w:line="240" w:lineRule="auto"/>
      </w:pPr>
      <w:r>
        <w:separator/>
      </w:r>
    </w:p>
  </w:footnote>
  <w:footnote w:type="continuationSeparator" w:id="0">
    <w:p w14:paraId="55CD10CD" w14:textId="77777777" w:rsidR="009B28BA" w:rsidRDefault="009B28BA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5C29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4B73C0BF" wp14:editId="32B64BBC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68437CD" wp14:editId="695D7868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668"/>
    <w:multiLevelType w:val="hybridMultilevel"/>
    <w:tmpl w:val="F70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583"/>
    <w:multiLevelType w:val="hybridMultilevel"/>
    <w:tmpl w:val="64A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663972"/>
    <w:rsid w:val="0066597D"/>
    <w:rsid w:val="00895110"/>
    <w:rsid w:val="009B28BA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2930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9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6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9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5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h.ohio.gov/wps/portal/gov/odh/know-our-programs/nurse-aide-training-and-competency-evaluation-program-natcep/resources/nacteptrainingstandardsandguidelie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2019-04-11T20:47:00Z</dcterms:created>
  <dcterms:modified xsi:type="dcterms:W3CDTF">2019-04-11T20:50:00Z</dcterms:modified>
</cp:coreProperties>
</file>