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06242E28" w:rsidR="00E42992" w:rsidRDefault="008A1B60">
                            <w:pPr>
                              <w:rPr>
                                <w:rFonts w:ascii="Calibri" w:hAnsi="Calibri"/>
                                <w:b/>
                                <w:color w:val="FFFFFF" w:themeColor="background1"/>
                                <w:sz w:val="72"/>
                              </w:rPr>
                            </w:pPr>
                            <w:r>
                              <w:rPr>
                                <w:rFonts w:ascii="Calibri" w:hAnsi="Calibri"/>
                                <w:b/>
                                <w:color w:val="FFFFFF" w:themeColor="background1"/>
                                <w:sz w:val="72"/>
                              </w:rPr>
                              <w:t>Pain</w:t>
                            </w:r>
                            <w:r w:rsidR="008A4A01">
                              <w:rPr>
                                <w:rFonts w:ascii="Calibri" w:hAnsi="Calibri"/>
                                <w:b/>
                                <w:color w:val="FFFFFF" w:themeColor="background1"/>
                                <w:sz w:val="72"/>
                              </w:rPr>
                              <w:t xml:space="preserve"> Management</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06242E28" w:rsidR="00E42992" w:rsidRDefault="008A1B60">
                      <w:pPr>
                        <w:rPr>
                          <w:rFonts w:ascii="Calibri" w:hAnsi="Calibri"/>
                          <w:b/>
                          <w:color w:val="FFFFFF" w:themeColor="background1"/>
                          <w:sz w:val="72"/>
                        </w:rPr>
                      </w:pPr>
                      <w:r>
                        <w:rPr>
                          <w:rFonts w:ascii="Calibri" w:hAnsi="Calibri"/>
                          <w:b/>
                          <w:color w:val="FFFFFF" w:themeColor="background1"/>
                          <w:sz w:val="72"/>
                        </w:rPr>
                        <w:t>Pain</w:t>
                      </w:r>
                      <w:r w:rsidR="008A4A01">
                        <w:rPr>
                          <w:rFonts w:ascii="Calibri" w:hAnsi="Calibri"/>
                          <w:b/>
                          <w:color w:val="FFFFFF" w:themeColor="background1"/>
                          <w:sz w:val="72"/>
                        </w:rPr>
                        <w:t xml:space="preserve"> Management</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1C2ABD"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1C2ABD">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1C2ABD">
                              <w:rPr>
                                <w:rFonts w:asciiTheme="minorHAnsi" w:hAnsiTheme="minorHAnsi"/>
                                <w:color w:val="FFFFFF" w:themeColor="background1"/>
                                <w:sz w:val="48"/>
                                <w:szCs w:val="48"/>
                                <w14:textOutline w14:w="9525" w14:cap="rnd" w14:cmpd="sng" w14:algn="ctr">
                                  <w14:noFill/>
                                  <w14:prstDash w14:val="solid"/>
                                  <w14:bevel/>
                                </w14:textOutline>
                              </w:rPr>
                              <w:t>’</w:t>
                            </w:r>
                            <w:r w:rsidRPr="001C2ABD">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1C2ABD"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1C2ABD">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1C2ABD">
                        <w:rPr>
                          <w:rFonts w:asciiTheme="minorHAnsi" w:hAnsiTheme="minorHAnsi"/>
                          <w:color w:val="FFFFFF" w:themeColor="background1"/>
                          <w:sz w:val="48"/>
                          <w:szCs w:val="48"/>
                          <w14:textOutline w14:w="9525" w14:cap="rnd" w14:cmpd="sng" w14:algn="ctr">
                            <w14:noFill/>
                            <w14:prstDash w14:val="solid"/>
                            <w14:bevel/>
                          </w14:textOutline>
                        </w:rPr>
                        <w:t>’</w:t>
                      </w:r>
                      <w:r w:rsidRPr="001C2ABD">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482A58CA" w14:textId="06F75EF4" w:rsidR="008A1B60" w:rsidRPr="008A1B60" w:rsidRDefault="008A1B60" w:rsidP="008A1B60">
      <w:pPr>
        <w:jc w:val="center"/>
        <w:rPr>
          <w:rFonts w:ascii="Calibri" w:hAnsi="Calibri" w:cs="Calibri"/>
          <w:b/>
          <w:sz w:val="28"/>
          <w:szCs w:val="28"/>
        </w:rPr>
      </w:pPr>
      <w:r w:rsidRPr="008A1B60">
        <w:rPr>
          <w:rFonts w:ascii="Calibri" w:hAnsi="Calibri" w:cs="Calibri"/>
          <w:b/>
          <w:sz w:val="28"/>
          <w:szCs w:val="28"/>
        </w:rPr>
        <w:lastRenderedPageBreak/>
        <w:t>Leader’s Guide</w:t>
      </w:r>
    </w:p>
    <w:p w14:paraId="5B025AD4" w14:textId="77777777" w:rsidR="008A1B60" w:rsidRPr="008A1B60" w:rsidRDefault="008A1B60" w:rsidP="008A1B60">
      <w:pPr>
        <w:jc w:val="center"/>
        <w:rPr>
          <w:rFonts w:ascii="Calibri" w:hAnsi="Calibri" w:cs="Calibri"/>
          <w:b/>
          <w:szCs w:val="24"/>
        </w:rPr>
      </w:pPr>
    </w:p>
    <w:p w14:paraId="1B9D2503" w14:textId="77777777" w:rsidR="008A1B60" w:rsidRPr="008A1B60" w:rsidRDefault="008A1B60" w:rsidP="008A1B60">
      <w:pPr>
        <w:pStyle w:val="NormalWeb"/>
        <w:spacing w:before="0" w:beforeAutospacing="0" w:after="0" w:afterAutospacing="0"/>
        <w:rPr>
          <w:rFonts w:ascii="Calibri" w:eastAsia="Calibri" w:hAnsi="Calibri" w:cs="Calibri"/>
          <w:sz w:val="22"/>
          <w:szCs w:val="22"/>
        </w:rPr>
      </w:pPr>
      <w:r w:rsidRPr="008A1B60">
        <w:rPr>
          <w:rFonts w:ascii="Calibri" w:hAnsi="Calibri" w:cs="Calibri"/>
          <w:sz w:val="22"/>
          <w:szCs w:val="22"/>
        </w:rPr>
        <w:t>With national awareness, reform and quality initiatives surrounding person centered care and Pain Management - organizations will want to have a system that promotes a competent, comprehensive, resident-centered pain management program/plan. These actions include a review and revision of current policies, procedures, implementation processes, documentation system, review of Quality Measures and quality monitoring, communication and education including staff, residents and families related to the components and aspects of pain management to develop our staff competency program.</w:t>
      </w:r>
    </w:p>
    <w:p w14:paraId="76A19F94" w14:textId="77777777" w:rsidR="008A1B60" w:rsidRPr="008A1B60" w:rsidRDefault="008A1B60" w:rsidP="008A1B60">
      <w:pPr>
        <w:rPr>
          <w:rFonts w:ascii="Calibri" w:hAnsi="Calibri" w:cs="Calibri"/>
          <w:b/>
          <w:sz w:val="22"/>
          <w:szCs w:val="22"/>
        </w:rPr>
      </w:pPr>
    </w:p>
    <w:p w14:paraId="3173F983" w14:textId="77777777" w:rsidR="008A1B60" w:rsidRPr="008A1B60" w:rsidRDefault="008A1B60" w:rsidP="008A1B60">
      <w:pPr>
        <w:tabs>
          <w:tab w:val="num" w:pos="720"/>
        </w:tabs>
        <w:rPr>
          <w:rFonts w:ascii="Calibri" w:hAnsi="Calibri" w:cs="Calibri"/>
          <w:sz w:val="22"/>
          <w:szCs w:val="22"/>
        </w:rPr>
      </w:pPr>
      <w:r w:rsidRPr="008A1B60">
        <w:rPr>
          <w:rFonts w:ascii="Calibri" w:hAnsi="Calibri" w:cs="Calibri"/>
          <w:sz w:val="22"/>
          <w:szCs w:val="22"/>
        </w:rPr>
        <w:t>The successful pain management competency program includes a system to help a resident attain or maintain his or her highest practicable le</w:t>
      </w:r>
      <w:bookmarkStart w:id="0" w:name="_GoBack"/>
      <w:bookmarkEnd w:id="0"/>
      <w:r w:rsidRPr="008A1B60">
        <w:rPr>
          <w:rFonts w:ascii="Calibri" w:hAnsi="Calibri" w:cs="Calibri"/>
          <w:sz w:val="22"/>
          <w:szCs w:val="22"/>
        </w:rPr>
        <w:t xml:space="preserve">vel of well-being and to prevent or manage pain, by:  </w:t>
      </w:r>
    </w:p>
    <w:p w14:paraId="4937DD19" w14:textId="77777777" w:rsidR="008A1B60" w:rsidRPr="008A1B60" w:rsidRDefault="008A1B60" w:rsidP="008A1B60">
      <w:pPr>
        <w:pStyle w:val="ListParagraph"/>
        <w:numPr>
          <w:ilvl w:val="0"/>
          <w:numId w:val="46"/>
        </w:numPr>
        <w:tabs>
          <w:tab w:val="num" w:pos="720"/>
        </w:tabs>
        <w:contextualSpacing/>
        <w:rPr>
          <w:rFonts w:ascii="Calibri" w:hAnsi="Calibri" w:cs="Calibri"/>
          <w:sz w:val="22"/>
          <w:szCs w:val="22"/>
        </w:rPr>
      </w:pPr>
      <w:r w:rsidRPr="008A1B60">
        <w:rPr>
          <w:rFonts w:ascii="Calibri" w:hAnsi="Calibri" w:cs="Calibri"/>
          <w:sz w:val="22"/>
          <w:szCs w:val="22"/>
        </w:rPr>
        <w:t xml:space="preserve">Recognizes when the resident is experiencing pain and identifies circumstances when pain can be anticipated;  </w:t>
      </w:r>
    </w:p>
    <w:p w14:paraId="7F29DEFF" w14:textId="77777777" w:rsidR="008A1B60" w:rsidRPr="008A1B60" w:rsidRDefault="008A1B60" w:rsidP="008A1B60">
      <w:pPr>
        <w:pStyle w:val="ListParagraph"/>
        <w:numPr>
          <w:ilvl w:val="0"/>
          <w:numId w:val="46"/>
        </w:numPr>
        <w:tabs>
          <w:tab w:val="num" w:pos="720"/>
        </w:tabs>
        <w:contextualSpacing/>
        <w:rPr>
          <w:rFonts w:ascii="Calibri" w:hAnsi="Calibri" w:cs="Calibri"/>
          <w:sz w:val="22"/>
          <w:szCs w:val="22"/>
        </w:rPr>
      </w:pPr>
      <w:r w:rsidRPr="008A1B60">
        <w:rPr>
          <w:rFonts w:ascii="Calibri" w:hAnsi="Calibri" w:cs="Calibri"/>
          <w:sz w:val="22"/>
          <w:szCs w:val="22"/>
        </w:rPr>
        <w:t xml:space="preserve">Evaluates the existing pain and the cause(s), and </w:t>
      </w:r>
    </w:p>
    <w:p w14:paraId="045CD174" w14:textId="77777777" w:rsidR="008A1B60" w:rsidRPr="008A1B60" w:rsidRDefault="008A1B60" w:rsidP="008A1B60">
      <w:pPr>
        <w:pStyle w:val="ListParagraph"/>
        <w:numPr>
          <w:ilvl w:val="0"/>
          <w:numId w:val="46"/>
        </w:numPr>
        <w:tabs>
          <w:tab w:val="num" w:pos="720"/>
        </w:tabs>
        <w:contextualSpacing/>
        <w:rPr>
          <w:rFonts w:ascii="Calibri" w:hAnsi="Calibri" w:cs="Calibri"/>
          <w:sz w:val="22"/>
          <w:szCs w:val="22"/>
        </w:rPr>
      </w:pPr>
      <w:r w:rsidRPr="008A1B60">
        <w:rPr>
          <w:rFonts w:ascii="Calibri" w:hAnsi="Calibri" w:cs="Calibri"/>
          <w:sz w:val="22"/>
          <w:szCs w:val="22"/>
        </w:rPr>
        <w:t xml:space="preserve">Manages or prevents pain, consistent with the comprehensive assessment and plan of care, current professional standards of practice, and the resident’s goals and preferences. </w:t>
      </w:r>
    </w:p>
    <w:p w14:paraId="77DC0982" w14:textId="77777777" w:rsidR="008A1B60" w:rsidRPr="008A1B60" w:rsidRDefault="008A1B60" w:rsidP="008A1B60">
      <w:pPr>
        <w:pStyle w:val="ListParagraph"/>
        <w:tabs>
          <w:tab w:val="num" w:pos="720"/>
        </w:tabs>
        <w:rPr>
          <w:rFonts w:ascii="Calibri" w:hAnsi="Calibri" w:cs="Calibri"/>
          <w:sz w:val="22"/>
          <w:szCs w:val="22"/>
        </w:rPr>
      </w:pPr>
    </w:p>
    <w:p w14:paraId="4F65AD2C" w14:textId="77777777" w:rsidR="008A1B60" w:rsidRPr="008A1B60" w:rsidRDefault="008A1B60" w:rsidP="008A1B60">
      <w:pPr>
        <w:rPr>
          <w:rFonts w:ascii="Calibri" w:hAnsi="Calibri" w:cs="Calibri"/>
          <w:sz w:val="22"/>
          <w:szCs w:val="22"/>
        </w:rPr>
      </w:pPr>
      <w:r w:rsidRPr="008A1B60">
        <w:rPr>
          <w:rFonts w:ascii="Calibri" w:hAnsi="Calibri" w:cs="Calibri"/>
          <w:sz w:val="22"/>
          <w:szCs w:val="22"/>
        </w:rPr>
        <w:t xml:space="preserve">It is important that all staff understand the expectations of regulatory requirements, standards of practice and best practice approaches.  Providers are obligated to comprehensively assess each individual resident and design an individualized pain management plan to support the resident achieving his or her pain goal/highest level of well-being.  Organizations need to have a process to educate and identify evidence of competency of staff to achieve resident and quality outcomes.  </w:t>
      </w:r>
    </w:p>
    <w:p w14:paraId="1DA50C42" w14:textId="77777777" w:rsidR="008A1B60" w:rsidRDefault="008A1B60" w:rsidP="008A1B60">
      <w:pPr>
        <w:rPr>
          <w:rFonts w:ascii="Calibri" w:hAnsi="Calibri" w:cs="Calibri"/>
          <w:sz w:val="22"/>
          <w:szCs w:val="22"/>
        </w:rPr>
      </w:pPr>
    </w:p>
    <w:p w14:paraId="0AB14F06" w14:textId="744BDE88" w:rsidR="008A1B60" w:rsidRPr="008A1B60" w:rsidRDefault="008A1B60" w:rsidP="008A1B60">
      <w:pPr>
        <w:rPr>
          <w:rFonts w:ascii="Calibri" w:hAnsi="Calibri" w:cs="Calibri"/>
          <w:sz w:val="22"/>
          <w:szCs w:val="22"/>
        </w:rPr>
      </w:pPr>
      <w:r w:rsidRPr="008A1B60">
        <w:rPr>
          <w:rFonts w:ascii="Calibri" w:hAnsi="Calibri" w:cs="Calibri"/>
          <w:sz w:val="22"/>
          <w:szCs w:val="22"/>
        </w:rPr>
        <w:t xml:space="preserve">Strategies for planning staff training and competency for a Pain Management Program for the prevention and management of pain may include but are not limited to evidence of competency with  the following: </w:t>
      </w:r>
    </w:p>
    <w:p w14:paraId="4F314B15" w14:textId="07EEB520" w:rsidR="008A1B60" w:rsidRPr="008A1B60" w:rsidRDefault="00EC3BC4" w:rsidP="008A1B60">
      <w:pPr>
        <w:pStyle w:val="ListParagraph"/>
        <w:numPr>
          <w:ilvl w:val="0"/>
          <w:numId w:val="50"/>
        </w:numPr>
        <w:rPr>
          <w:rFonts w:ascii="Calibri" w:hAnsi="Calibri" w:cs="Calibri"/>
          <w:sz w:val="22"/>
          <w:szCs w:val="22"/>
        </w:rPr>
      </w:pPr>
      <w:r>
        <w:rPr>
          <w:rFonts w:ascii="Calibri" w:hAnsi="Calibri" w:cs="Calibri"/>
          <w:sz w:val="22"/>
          <w:szCs w:val="22"/>
        </w:rPr>
        <w:t>“</w:t>
      </w:r>
      <w:r w:rsidR="008A1B60" w:rsidRPr="008A1B60">
        <w:rPr>
          <w:rFonts w:ascii="Calibri" w:hAnsi="Calibri" w:cs="Calibri"/>
          <w:sz w:val="22"/>
          <w:szCs w:val="22"/>
        </w:rPr>
        <w:t xml:space="preserve">Assessing the potential for pain, recognizing the onset, presence and duration of pain, and assessing the characteristics of the pain;  </w:t>
      </w:r>
    </w:p>
    <w:p w14:paraId="311A3D6C" w14:textId="24A2BCDA" w:rsidR="008A1B60" w:rsidRPr="008A1B60" w:rsidRDefault="008A1B60" w:rsidP="008A1B60">
      <w:pPr>
        <w:pStyle w:val="ListParagraph"/>
        <w:numPr>
          <w:ilvl w:val="0"/>
          <w:numId w:val="50"/>
        </w:numPr>
        <w:rPr>
          <w:rFonts w:ascii="Calibri" w:hAnsi="Calibri" w:cs="Calibri"/>
          <w:sz w:val="22"/>
          <w:szCs w:val="22"/>
        </w:rPr>
      </w:pPr>
      <w:r w:rsidRPr="008A1B60">
        <w:rPr>
          <w:rFonts w:ascii="Calibri" w:hAnsi="Calibri" w:cs="Calibri"/>
          <w:sz w:val="22"/>
          <w:szCs w:val="22"/>
        </w:rPr>
        <w:t xml:space="preserve">Addressing/treating the underlying causes of the pain, to the extent possible; </w:t>
      </w:r>
    </w:p>
    <w:p w14:paraId="56B31513" w14:textId="5EC2FF15" w:rsidR="008A1B60" w:rsidRPr="008A1B60" w:rsidRDefault="008A1B60" w:rsidP="008A1B60">
      <w:pPr>
        <w:pStyle w:val="ListParagraph"/>
        <w:numPr>
          <w:ilvl w:val="0"/>
          <w:numId w:val="50"/>
        </w:numPr>
        <w:rPr>
          <w:rFonts w:ascii="Calibri" w:hAnsi="Calibri" w:cs="Calibri"/>
          <w:sz w:val="22"/>
          <w:szCs w:val="22"/>
        </w:rPr>
      </w:pPr>
      <w:r w:rsidRPr="008A1B60">
        <w:rPr>
          <w:rFonts w:ascii="Calibri" w:hAnsi="Calibri" w:cs="Calibri"/>
          <w:sz w:val="22"/>
          <w:szCs w:val="22"/>
        </w:rPr>
        <w:t xml:space="preserve">Developing and implementing both non-pharmacological and pharmacological interventions/approaches to pain management, depending on factors such as whether the pain is episodic, continuous, or both;  </w:t>
      </w:r>
    </w:p>
    <w:p w14:paraId="2F3C66A0" w14:textId="5237349E" w:rsidR="008A1B60" w:rsidRPr="008A1B60" w:rsidRDefault="008A1B60" w:rsidP="008A1B60">
      <w:pPr>
        <w:pStyle w:val="ListParagraph"/>
        <w:numPr>
          <w:ilvl w:val="0"/>
          <w:numId w:val="50"/>
        </w:numPr>
        <w:rPr>
          <w:rFonts w:ascii="Calibri" w:hAnsi="Calibri" w:cs="Calibri"/>
          <w:sz w:val="22"/>
          <w:szCs w:val="22"/>
        </w:rPr>
      </w:pPr>
      <w:r w:rsidRPr="008A1B60">
        <w:rPr>
          <w:rFonts w:ascii="Calibri" w:hAnsi="Calibri" w:cs="Calibri"/>
          <w:sz w:val="22"/>
          <w:szCs w:val="22"/>
        </w:rPr>
        <w:t xml:space="preserve">Identifying and using specific strategies for preventing or minimizing different levels or sources of pain or pain-related symptoms based on the resident-specific assessment, preferences and choices, a pertinent clinical rationale, and the resident’s goals and; using pain medications judiciously to balance the resident’s desired level of pain relief with the avoidance of unacceptable adverse consequences; </w:t>
      </w:r>
    </w:p>
    <w:p w14:paraId="3B39D11B" w14:textId="08390666" w:rsidR="008A1B60" w:rsidRPr="008A1B60" w:rsidRDefault="008A1B60" w:rsidP="008A1B60">
      <w:pPr>
        <w:pStyle w:val="ListParagraph"/>
        <w:numPr>
          <w:ilvl w:val="0"/>
          <w:numId w:val="50"/>
        </w:numPr>
        <w:rPr>
          <w:rFonts w:ascii="Calibri" w:hAnsi="Calibri" w:cs="Calibri"/>
          <w:sz w:val="22"/>
          <w:szCs w:val="22"/>
        </w:rPr>
      </w:pPr>
      <w:r w:rsidRPr="008A1B60">
        <w:rPr>
          <w:rFonts w:ascii="Calibri" w:hAnsi="Calibri" w:cs="Calibri"/>
          <w:sz w:val="22"/>
          <w:szCs w:val="22"/>
        </w:rPr>
        <w:t xml:space="preserve">Monitoring appropriately for effectiveness and/or adverse consequences (e.g., constipation, sedation) including defining how and when to monitor the resident’s symptoms and degree of pain relief; and </w:t>
      </w:r>
    </w:p>
    <w:p w14:paraId="3417CF80" w14:textId="0810DCDC" w:rsidR="008A1B60" w:rsidRPr="008A1B60" w:rsidRDefault="008A1B60" w:rsidP="008A1B60">
      <w:pPr>
        <w:pStyle w:val="ListParagraph"/>
        <w:numPr>
          <w:ilvl w:val="0"/>
          <w:numId w:val="50"/>
        </w:numPr>
        <w:rPr>
          <w:rFonts w:ascii="Calibri" w:hAnsi="Calibri" w:cs="Calibri"/>
          <w:sz w:val="22"/>
          <w:szCs w:val="22"/>
        </w:rPr>
      </w:pPr>
      <w:r w:rsidRPr="008A1B60">
        <w:rPr>
          <w:rFonts w:ascii="Calibri" w:hAnsi="Calibri" w:cs="Calibri"/>
          <w:sz w:val="22"/>
          <w:szCs w:val="22"/>
        </w:rPr>
        <w:t>Modifying the approaches, as necessary.</w:t>
      </w:r>
      <w:r w:rsidR="00EC3BC4">
        <w:rPr>
          <w:rFonts w:ascii="Calibri" w:hAnsi="Calibri" w:cs="Calibri"/>
          <w:sz w:val="22"/>
          <w:szCs w:val="22"/>
        </w:rPr>
        <w:t>”</w:t>
      </w:r>
      <w:r w:rsidR="00EC3BC4">
        <w:rPr>
          <w:rStyle w:val="FootnoteReference"/>
          <w:rFonts w:ascii="Calibri" w:hAnsi="Calibri" w:cs="Calibri"/>
          <w:sz w:val="22"/>
          <w:szCs w:val="22"/>
        </w:rPr>
        <w:footnoteReference w:id="1"/>
      </w:r>
    </w:p>
    <w:p w14:paraId="10804169" w14:textId="77777777" w:rsidR="008A1B60" w:rsidRPr="008A1B60" w:rsidRDefault="008A1B60" w:rsidP="008A1B60">
      <w:pPr>
        <w:pStyle w:val="Default"/>
        <w:rPr>
          <w:rFonts w:ascii="Calibri" w:hAnsi="Calibri" w:cs="Calibri"/>
          <w:iCs/>
          <w:color w:val="auto"/>
          <w:sz w:val="22"/>
          <w:szCs w:val="22"/>
        </w:rPr>
      </w:pPr>
    </w:p>
    <w:p w14:paraId="235A1FCE" w14:textId="4E7E3E19" w:rsidR="008A1B60" w:rsidRPr="008A1B60" w:rsidRDefault="008A1B60" w:rsidP="00EC3BC4">
      <w:pPr>
        <w:spacing w:after="160" w:line="259" w:lineRule="auto"/>
        <w:rPr>
          <w:rFonts w:ascii="Calibri" w:hAnsi="Calibri" w:cs="Calibri"/>
          <w:iCs/>
          <w:sz w:val="22"/>
          <w:szCs w:val="22"/>
        </w:rPr>
      </w:pPr>
      <w:r w:rsidRPr="008A1B60">
        <w:rPr>
          <w:rFonts w:ascii="Calibri" w:hAnsi="Calibri" w:cs="Calibri"/>
          <w:iCs/>
          <w:sz w:val="22"/>
          <w:szCs w:val="22"/>
        </w:rPr>
        <w:t>Keeping the individual at their highest level of functioning has a dramatic impact on quality of life.  Center for Medicare and Medicaid Services (CMS) continues to monitor providers’ compliance with comprehensive assessment, planning of care, implementing interventions and re-evaluation.  This includes identification of resources and services necessary to care for all residents as identified in the facility assessment.</w:t>
      </w:r>
    </w:p>
    <w:p w14:paraId="5382E053" w14:textId="77777777" w:rsidR="008A1B60" w:rsidRPr="008A1B60" w:rsidRDefault="008A1B60" w:rsidP="008A1B60">
      <w:pPr>
        <w:rPr>
          <w:rFonts w:ascii="Calibri" w:hAnsi="Calibri" w:cs="Calibri"/>
          <w:sz w:val="22"/>
          <w:szCs w:val="22"/>
        </w:rPr>
      </w:pPr>
    </w:p>
    <w:p w14:paraId="5EE4BCB9" w14:textId="77777777" w:rsidR="008A1B60" w:rsidRPr="008A1B60" w:rsidRDefault="008A1B60" w:rsidP="008A1B60">
      <w:pPr>
        <w:rPr>
          <w:rFonts w:ascii="Calibri" w:hAnsi="Calibri" w:cs="Calibri"/>
          <w:sz w:val="22"/>
          <w:szCs w:val="22"/>
        </w:rPr>
      </w:pPr>
      <w:r w:rsidRPr="008A1B60">
        <w:rPr>
          <w:rFonts w:ascii="Calibri" w:hAnsi="Calibri" w:cs="Calibri"/>
          <w:sz w:val="22"/>
          <w:szCs w:val="22"/>
        </w:rPr>
        <w:t>Organizational Leaders will need to ensure competency of all staff members involved pain management.  Adequate resources for the program will need to be evaluated including:</w:t>
      </w:r>
    </w:p>
    <w:p w14:paraId="0828E69E" w14:textId="77777777" w:rsidR="008A1B60" w:rsidRPr="008A1B60" w:rsidRDefault="008A1B60" w:rsidP="008A1B60">
      <w:pPr>
        <w:pStyle w:val="ListParagraph"/>
        <w:numPr>
          <w:ilvl w:val="0"/>
          <w:numId w:val="37"/>
        </w:numPr>
        <w:contextualSpacing/>
        <w:rPr>
          <w:rFonts w:ascii="Calibri" w:hAnsi="Calibri" w:cs="Calibri"/>
          <w:sz w:val="22"/>
          <w:szCs w:val="22"/>
        </w:rPr>
      </w:pPr>
      <w:r w:rsidRPr="008A1B60">
        <w:rPr>
          <w:rFonts w:ascii="Calibri" w:hAnsi="Calibri" w:cs="Calibri"/>
          <w:sz w:val="22"/>
          <w:szCs w:val="22"/>
        </w:rPr>
        <w:t>Staff</w:t>
      </w:r>
    </w:p>
    <w:p w14:paraId="2423F3F9"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RN Nurse</w:t>
      </w:r>
    </w:p>
    <w:p w14:paraId="12535041"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Licensed Nurses</w:t>
      </w:r>
    </w:p>
    <w:p w14:paraId="213A9B51"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CNA’s</w:t>
      </w:r>
    </w:p>
    <w:p w14:paraId="606533C3"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Interdisciplinary Staff with resident contact</w:t>
      </w:r>
    </w:p>
    <w:p w14:paraId="257FA8AB" w14:textId="77777777" w:rsidR="008A1B60" w:rsidRPr="008A1B60" w:rsidRDefault="008A1B60" w:rsidP="008A1B60">
      <w:pPr>
        <w:pStyle w:val="ListParagraph"/>
        <w:numPr>
          <w:ilvl w:val="0"/>
          <w:numId w:val="37"/>
        </w:numPr>
        <w:contextualSpacing/>
        <w:rPr>
          <w:rFonts w:ascii="Calibri" w:hAnsi="Calibri" w:cs="Calibri"/>
          <w:sz w:val="22"/>
          <w:szCs w:val="22"/>
        </w:rPr>
      </w:pPr>
      <w:r w:rsidRPr="008A1B60">
        <w:rPr>
          <w:rFonts w:ascii="Calibri" w:hAnsi="Calibri" w:cs="Calibri"/>
          <w:sz w:val="22"/>
          <w:szCs w:val="22"/>
        </w:rPr>
        <w:t>Documentation Considerations</w:t>
      </w:r>
    </w:p>
    <w:p w14:paraId="2D766005"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Paper vs. Electronic Health Record</w:t>
      </w:r>
    </w:p>
    <w:p w14:paraId="314E66A0"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Assessment/Evaluation Forms</w:t>
      </w:r>
    </w:p>
    <w:p w14:paraId="27C3D48E"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Care Planning</w:t>
      </w:r>
    </w:p>
    <w:p w14:paraId="1EBE098E"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Implementation and documentation of interventions</w:t>
      </w:r>
    </w:p>
    <w:p w14:paraId="7B814860"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Documentation</w:t>
      </w:r>
    </w:p>
    <w:p w14:paraId="29C28921" w14:textId="77777777" w:rsidR="008A1B60" w:rsidRPr="008A1B60" w:rsidRDefault="008A1B60" w:rsidP="008A1B60">
      <w:pPr>
        <w:pStyle w:val="ListParagraph"/>
        <w:numPr>
          <w:ilvl w:val="0"/>
          <w:numId w:val="37"/>
        </w:numPr>
        <w:contextualSpacing/>
        <w:rPr>
          <w:rFonts w:ascii="Calibri" w:hAnsi="Calibri" w:cs="Calibri"/>
          <w:sz w:val="22"/>
          <w:szCs w:val="22"/>
        </w:rPr>
      </w:pPr>
      <w:r w:rsidRPr="008A1B60">
        <w:rPr>
          <w:rFonts w:ascii="Calibri" w:hAnsi="Calibri" w:cs="Calibri"/>
          <w:sz w:val="22"/>
          <w:szCs w:val="22"/>
        </w:rPr>
        <w:t>Education</w:t>
      </w:r>
    </w:p>
    <w:p w14:paraId="27139360"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RN Nurse</w:t>
      </w:r>
    </w:p>
    <w:p w14:paraId="3509A24B"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Licensed Nurses</w:t>
      </w:r>
    </w:p>
    <w:p w14:paraId="4DA3D79C"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CNA’s</w:t>
      </w:r>
    </w:p>
    <w:p w14:paraId="219356A3"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Interdisciplinary Staff with resident contact</w:t>
      </w:r>
    </w:p>
    <w:p w14:paraId="2C6F7253" w14:textId="77777777" w:rsidR="008A1B60" w:rsidRPr="008A1B60" w:rsidRDefault="008A1B60" w:rsidP="008A1B60">
      <w:pPr>
        <w:pStyle w:val="ListParagraph"/>
        <w:numPr>
          <w:ilvl w:val="0"/>
          <w:numId w:val="37"/>
        </w:numPr>
        <w:contextualSpacing/>
        <w:rPr>
          <w:rFonts w:ascii="Calibri" w:hAnsi="Calibri" w:cs="Calibri"/>
          <w:sz w:val="22"/>
          <w:szCs w:val="22"/>
        </w:rPr>
      </w:pPr>
      <w:r w:rsidRPr="008A1B60">
        <w:rPr>
          <w:rFonts w:ascii="Calibri" w:hAnsi="Calibri" w:cs="Calibri"/>
          <w:sz w:val="22"/>
          <w:szCs w:val="22"/>
        </w:rPr>
        <w:t>Evaluation and Monitoring</w:t>
      </w:r>
    </w:p>
    <w:p w14:paraId="4A819C17"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Identification of Responsibility</w:t>
      </w:r>
    </w:p>
    <w:p w14:paraId="694DF233"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System to Evaluate</w:t>
      </w:r>
    </w:p>
    <w:p w14:paraId="6E51722E" w14:textId="77777777" w:rsidR="008A1B60" w:rsidRPr="008A1B60" w:rsidRDefault="008A1B60" w:rsidP="008A1B60">
      <w:pPr>
        <w:pStyle w:val="ListParagraph"/>
        <w:numPr>
          <w:ilvl w:val="1"/>
          <w:numId w:val="37"/>
        </w:numPr>
        <w:contextualSpacing/>
        <w:rPr>
          <w:rFonts w:ascii="Calibri" w:hAnsi="Calibri" w:cs="Calibri"/>
          <w:sz w:val="22"/>
          <w:szCs w:val="22"/>
        </w:rPr>
      </w:pPr>
      <w:r w:rsidRPr="008A1B60">
        <w:rPr>
          <w:rFonts w:ascii="Calibri" w:hAnsi="Calibri" w:cs="Calibri"/>
          <w:sz w:val="22"/>
          <w:szCs w:val="22"/>
        </w:rPr>
        <w:t>QAPI Considerations</w:t>
      </w:r>
    </w:p>
    <w:p w14:paraId="45963EE1" w14:textId="77777777" w:rsidR="008A1B60" w:rsidRPr="008A1B60" w:rsidRDefault="008A1B60" w:rsidP="008A1B60">
      <w:pPr>
        <w:pStyle w:val="ListParagraph"/>
        <w:numPr>
          <w:ilvl w:val="0"/>
          <w:numId w:val="37"/>
        </w:numPr>
        <w:contextualSpacing/>
        <w:rPr>
          <w:rFonts w:ascii="Calibri" w:hAnsi="Calibri" w:cs="Calibri"/>
          <w:sz w:val="22"/>
          <w:szCs w:val="22"/>
        </w:rPr>
      </w:pPr>
      <w:r w:rsidRPr="008A1B60">
        <w:rPr>
          <w:rFonts w:ascii="Calibri" w:hAnsi="Calibri" w:cs="Calibri"/>
          <w:sz w:val="22"/>
          <w:szCs w:val="22"/>
        </w:rPr>
        <w:t>Supplies and Equipment</w:t>
      </w:r>
    </w:p>
    <w:p w14:paraId="2FF7146E" w14:textId="77777777" w:rsidR="008A1B60" w:rsidRPr="008A1B60" w:rsidRDefault="008A1B60" w:rsidP="008A1B60">
      <w:pPr>
        <w:pStyle w:val="ListParagraph"/>
        <w:numPr>
          <w:ilvl w:val="0"/>
          <w:numId w:val="37"/>
        </w:numPr>
        <w:contextualSpacing/>
        <w:rPr>
          <w:rFonts w:ascii="Calibri" w:hAnsi="Calibri" w:cs="Calibri"/>
          <w:sz w:val="22"/>
          <w:szCs w:val="22"/>
        </w:rPr>
      </w:pPr>
      <w:r w:rsidRPr="008A1B60">
        <w:rPr>
          <w:rFonts w:ascii="Calibri" w:hAnsi="Calibri" w:cs="Calibri"/>
          <w:sz w:val="22"/>
          <w:szCs w:val="22"/>
        </w:rPr>
        <w:t>Medication Management</w:t>
      </w:r>
    </w:p>
    <w:p w14:paraId="34D79FDF" w14:textId="77777777" w:rsidR="008A1B60" w:rsidRPr="008A1B60" w:rsidRDefault="008A1B60" w:rsidP="008A1B60">
      <w:pPr>
        <w:rPr>
          <w:rFonts w:ascii="Calibri" w:hAnsi="Calibri" w:cs="Calibri"/>
          <w:sz w:val="22"/>
          <w:szCs w:val="22"/>
        </w:rPr>
      </w:pPr>
    </w:p>
    <w:p w14:paraId="4F1CF4AB" w14:textId="77777777" w:rsidR="008A1B60" w:rsidRPr="008A1B60" w:rsidRDefault="008A1B60" w:rsidP="008A1B60">
      <w:pPr>
        <w:rPr>
          <w:rFonts w:ascii="Calibri" w:hAnsi="Calibri" w:cs="Calibri"/>
          <w:sz w:val="22"/>
          <w:szCs w:val="22"/>
        </w:rPr>
      </w:pPr>
    </w:p>
    <w:p w14:paraId="39DFC223" w14:textId="77777777" w:rsidR="008A1B60" w:rsidRDefault="008A1B60">
      <w:pPr>
        <w:spacing w:after="160" w:line="259" w:lineRule="auto"/>
        <w:rPr>
          <w:rFonts w:ascii="Calibri" w:hAnsi="Calibri" w:cs="Calibri"/>
          <w:b/>
          <w:sz w:val="22"/>
          <w:szCs w:val="22"/>
        </w:rPr>
      </w:pPr>
      <w:bookmarkStart w:id="1" w:name="_Hlk2255612"/>
      <w:r>
        <w:rPr>
          <w:rFonts w:ascii="Calibri" w:hAnsi="Calibri" w:cs="Calibri"/>
          <w:b/>
          <w:sz w:val="22"/>
          <w:szCs w:val="22"/>
        </w:rPr>
        <w:br w:type="page"/>
      </w:r>
    </w:p>
    <w:p w14:paraId="24E328FA" w14:textId="28B39297" w:rsidR="008A1B60" w:rsidRPr="008A1B60" w:rsidRDefault="008A1B60" w:rsidP="008A1B60">
      <w:pPr>
        <w:rPr>
          <w:rFonts w:ascii="Calibri" w:hAnsi="Calibri" w:cs="Calibri"/>
          <w:b/>
          <w:szCs w:val="24"/>
        </w:rPr>
      </w:pPr>
      <w:r w:rsidRPr="008A1B60">
        <w:rPr>
          <w:rFonts w:ascii="Calibri" w:hAnsi="Calibri" w:cs="Calibri"/>
          <w:b/>
          <w:szCs w:val="24"/>
        </w:rPr>
        <w:lastRenderedPageBreak/>
        <w:t>References and Resources</w:t>
      </w:r>
    </w:p>
    <w:p w14:paraId="029852F7" w14:textId="77777777" w:rsidR="008A1B60" w:rsidRPr="008A1B60" w:rsidRDefault="008A1B60" w:rsidP="008A1B60">
      <w:pPr>
        <w:rPr>
          <w:rFonts w:ascii="Calibri" w:hAnsi="Calibri" w:cs="Calibri"/>
          <w:b/>
          <w:sz w:val="22"/>
          <w:szCs w:val="22"/>
        </w:rPr>
      </w:pPr>
    </w:p>
    <w:p w14:paraId="39A7C507" w14:textId="77777777" w:rsidR="008A1B60" w:rsidRPr="00EC3BC4" w:rsidRDefault="008A1B60" w:rsidP="008A1B60">
      <w:pPr>
        <w:pStyle w:val="ListParagraph"/>
        <w:numPr>
          <w:ilvl w:val="0"/>
          <w:numId w:val="38"/>
        </w:numPr>
        <w:contextualSpacing/>
        <w:rPr>
          <w:rFonts w:ascii="Calibri" w:eastAsia="MS Mincho" w:hAnsi="Calibri" w:cs="Calibri"/>
          <w:sz w:val="22"/>
          <w:szCs w:val="22"/>
        </w:rPr>
      </w:pPr>
      <w:r w:rsidRPr="00EC3BC4">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EC3BC4">
          <w:rPr>
            <w:rStyle w:val="Hyperlink"/>
            <w:rFonts w:ascii="Calibri" w:eastAsia="MS Mincho" w:hAnsi="Calibri" w:cs="Calibri"/>
            <w:sz w:val="22"/>
            <w:szCs w:val="22"/>
          </w:rPr>
          <w:t>https://www.cms.gov/Regulations-and-Guidance/Guidance/Manuals/downloads/som107ap_pp_guidelines_ltcf.pdf</w:t>
        </w:r>
      </w:hyperlink>
      <w:r w:rsidRPr="00EC3BC4">
        <w:rPr>
          <w:rFonts w:ascii="Calibri" w:eastAsia="MS Mincho" w:hAnsi="Calibri" w:cs="Calibri"/>
          <w:sz w:val="22"/>
          <w:szCs w:val="22"/>
        </w:rPr>
        <w:t xml:space="preserve"> </w:t>
      </w:r>
    </w:p>
    <w:p w14:paraId="743E7EF2" w14:textId="77777777" w:rsidR="008A1B60" w:rsidRPr="008A1B60" w:rsidRDefault="008A1B60" w:rsidP="008A1B60">
      <w:pPr>
        <w:rPr>
          <w:rFonts w:ascii="Calibri" w:eastAsia="MS Mincho" w:hAnsi="Calibri" w:cs="Calibri"/>
          <w:sz w:val="22"/>
          <w:szCs w:val="22"/>
        </w:rPr>
      </w:pPr>
    </w:p>
    <w:p w14:paraId="1C990F37" w14:textId="77777777" w:rsidR="008A1B60" w:rsidRPr="008A1B60" w:rsidRDefault="008A1B60" w:rsidP="008A1B60">
      <w:pPr>
        <w:pStyle w:val="Footer"/>
        <w:numPr>
          <w:ilvl w:val="0"/>
          <w:numId w:val="47"/>
        </w:numPr>
        <w:rPr>
          <w:rStyle w:val="Hyperlink"/>
          <w:rFonts w:ascii="Calibri" w:hAnsi="Calibri" w:cs="Calibri"/>
          <w:sz w:val="22"/>
          <w:szCs w:val="22"/>
        </w:rPr>
      </w:pPr>
      <w:r w:rsidRPr="008A1B60">
        <w:rPr>
          <w:rStyle w:val="Hyperlink"/>
          <w:rFonts w:ascii="Calibri" w:hAnsi="Calibri" w:cs="Calibri"/>
          <w:sz w:val="22"/>
          <w:szCs w:val="22"/>
        </w:rPr>
        <w:t>LTC Survey Pathways (Download) CMS-20076 Pain Management Critical Element Pathway</w:t>
      </w:r>
    </w:p>
    <w:p w14:paraId="36E969DA" w14:textId="77777777" w:rsidR="008A1B60" w:rsidRPr="008A1B60" w:rsidRDefault="00EF7341" w:rsidP="008A1B60">
      <w:pPr>
        <w:pStyle w:val="Footer"/>
        <w:ind w:left="720"/>
        <w:rPr>
          <w:rFonts w:ascii="Calibri" w:hAnsi="Calibri" w:cs="Calibri"/>
          <w:color w:val="0000FF"/>
          <w:sz w:val="22"/>
          <w:szCs w:val="22"/>
          <w:u w:val="single"/>
        </w:rPr>
      </w:pPr>
      <w:hyperlink r:id="rId9" w:history="1">
        <w:r w:rsidR="008A1B60" w:rsidRPr="008A1B60">
          <w:rPr>
            <w:rStyle w:val="Hyperlink"/>
            <w:rFonts w:ascii="Calibri" w:hAnsi="Calibri" w:cs="Calibri"/>
            <w:sz w:val="22"/>
            <w:szCs w:val="22"/>
          </w:rPr>
          <w:t>https://www.cms.gov/medicare/provider-enrollment-and-certification/guidanceforlawsandregulations/nursing-homes.html</w:t>
        </w:r>
      </w:hyperlink>
    </w:p>
    <w:p w14:paraId="338EA4DE" w14:textId="77777777" w:rsidR="008A1B60" w:rsidRPr="008A1B60" w:rsidRDefault="008A1B60" w:rsidP="008A1B60">
      <w:pPr>
        <w:pStyle w:val="ListParagraph"/>
        <w:rPr>
          <w:rFonts w:ascii="Calibri" w:hAnsi="Calibri" w:cs="Calibri"/>
          <w:sz w:val="22"/>
          <w:szCs w:val="22"/>
        </w:rPr>
      </w:pPr>
    </w:p>
    <w:p w14:paraId="025795DE" w14:textId="4F41EC55" w:rsidR="008A1B60" w:rsidRDefault="008A1B60" w:rsidP="008A1B60">
      <w:pPr>
        <w:pStyle w:val="ListParagraph"/>
        <w:numPr>
          <w:ilvl w:val="0"/>
          <w:numId w:val="38"/>
        </w:numPr>
        <w:contextualSpacing/>
        <w:rPr>
          <w:rStyle w:val="Hyperlink"/>
          <w:rFonts w:ascii="Calibri" w:hAnsi="Calibri" w:cs="Calibri"/>
          <w:sz w:val="22"/>
          <w:szCs w:val="22"/>
        </w:rPr>
      </w:pPr>
      <w:r w:rsidRPr="008A1B60">
        <w:rPr>
          <w:rFonts w:ascii="Calibri" w:hAnsi="Calibri" w:cs="Calibri"/>
          <w:sz w:val="22"/>
          <w:szCs w:val="22"/>
        </w:rPr>
        <w:t xml:space="preserve">Centers for Medicare &amp; Medicaid Services Long-Term Care Facility Resident Assessment Instrument 3.0 User’s Manual, Version 1.16.  October 2018:  </w:t>
      </w:r>
      <w:hyperlink r:id="rId10" w:history="1">
        <w:r w:rsidRPr="008A1B60">
          <w:rPr>
            <w:rStyle w:val="Hyperlink"/>
            <w:rFonts w:ascii="Calibri" w:hAnsi="Calibri" w:cs="Calibri"/>
            <w:sz w:val="22"/>
            <w:szCs w:val="22"/>
          </w:rPr>
          <w:t>https://www.cms.gov/Medicare/Quality-Initiatives-Patient-Assessment-Instruments/NursingHomeQualityInits/MDS30RAIManual.html</w:t>
        </w:r>
      </w:hyperlink>
      <w:bookmarkEnd w:id="1"/>
    </w:p>
    <w:p w14:paraId="2F1453EB" w14:textId="77777777" w:rsidR="008A1B60" w:rsidRPr="008A1B60" w:rsidRDefault="008A1B60" w:rsidP="008A1B60">
      <w:pPr>
        <w:pStyle w:val="ListParagraph"/>
        <w:contextualSpacing/>
        <w:rPr>
          <w:rStyle w:val="Hyperlink"/>
          <w:rFonts w:ascii="Calibri" w:hAnsi="Calibri" w:cs="Calibri"/>
          <w:sz w:val="22"/>
          <w:szCs w:val="22"/>
        </w:rPr>
      </w:pPr>
    </w:p>
    <w:p w14:paraId="751D287B" w14:textId="1A4154D3" w:rsidR="008A1B60" w:rsidRPr="008A1B60" w:rsidRDefault="008A1B60" w:rsidP="008A1B60">
      <w:pPr>
        <w:pStyle w:val="ListParagraph"/>
        <w:numPr>
          <w:ilvl w:val="0"/>
          <w:numId w:val="38"/>
        </w:numPr>
        <w:contextualSpacing/>
        <w:rPr>
          <w:rFonts w:ascii="Calibri" w:hAnsi="Calibri" w:cs="Calibri"/>
          <w:sz w:val="22"/>
          <w:szCs w:val="22"/>
        </w:rPr>
      </w:pPr>
      <w:r w:rsidRPr="008A1B60">
        <w:rPr>
          <w:rFonts w:ascii="Calibri" w:hAnsi="Calibri" w:cs="Calibri"/>
          <w:color w:val="000000"/>
          <w:sz w:val="22"/>
          <w:szCs w:val="22"/>
        </w:rPr>
        <w:t xml:space="preserve">Geriatric Pain Website (pg. 354): </w:t>
      </w:r>
      <w:hyperlink r:id="rId11" w:history="1">
        <w:r w:rsidRPr="008A1B60">
          <w:rPr>
            <w:rStyle w:val="Hyperlink"/>
            <w:rFonts w:ascii="Calibri" w:hAnsi="Calibri" w:cs="Calibri"/>
            <w:sz w:val="22"/>
            <w:szCs w:val="22"/>
          </w:rPr>
          <w:t>https://geriatricpain.org/</w:t>
        </w:r>
      </w:hyperlink>
      <w:r w:rsidRPr="008A1B60">
        <w:rPr>
          <w:rFonts w:ascii="Calibri" w:hAnsi="Calibri" w:cs="Calibri"/>
          <w:color w:val="000000"/>
          <w:sz w:val="22"/>
          <w:szCs w:val="22"/>
        </w:rPr>
        <w:t xml:space="preserve"> </w:t>
      </w:r>
    </w:p>
    <w:p w14:paraId="575FE35A" w14:textId="77777777" w:rsidR="008A1B60" w:rsidRPr="008A1B60" w:rsidRDefault="008A1B60" w:rsidP="008A1B60">
      <w:pPr>
        <w:contextualSpacing/>
        <w:rPr>
          <w:rFonts w:ascii="Calibri" w:hAnsi="Calibri" w:cs="Calibri"/>
          <w:sz w:val="22"/>
          <w:szCs w:val="22"/>
        </w:rPr>
      </w:pPr>
    </w:p>
    <w:p w14:paraId="7AA6F7C9" w14:textId="1D62E8D7" w:rsidR="008A1B60" w:rsidRPr="008A1B60" w:rsidRDefault="008A1B60" w:rsidP="008A1B60">
      <w:pPr>
        <w:pStyle w:val="NormalWeb"/>
        <w:numPr>
          <w:ilvl w:val="0"/>
          <w:numId w:val="38"/>
        </w:numPr>
        <w:spacing w:before="0" w:beforeAutospacing="0" w:after="0" w:afterAutospacing="0"/>
        <w:rPr>
          <w:rStyle w:val="Hyperlink"/>
          <w:rFonts w:ascii="Calibri" w:hAnsi="Calibri" w:cs="Calibri"/>
          <w:color w:val="000000"/>
          <w:sz w:val="22"/>
          <w:szCs w:val="22"/>
          <w:u w:val="none"/>
        </w:rPr>
      </w:pPr>
      <w:proofErr w:type="spellStart"/>
      <w:r w:rsidRPr="008A1B60">
        <w:rPr>
          <w:rFonts w:ascii="Calibri" w:hAnsi="Calibri" w:cs="Calibri"/>
          <w:color w:val="000000"/>
          <w:sz w:val="22"/>
          <w:szCs w:val="22"/>
        </w:rPr>
        <w:t>NNHQuality</w:t>
      </w:r>
      <w:proofErr w:type="spellEnd"/>
      <w:r w:rsidRPr="008A1B60">
        <w:rPr>
          <w:rFonts w:ascii="Calibri" w:hAnsi="Calibri" w:cs="Calibri"/>
          <w:color w:val="000000"/>
          <w:sz w:val="22"/>
          <w:szCs w:val="22"/>
        </w:rPr>
        <w:t xml:space="preserve"> Improvement - Pain - </w:t>
      </w:r>
      <w:hyperlink r:id="rId12" w:history="1">
        <w:r w:rsidRPr="008A1B60">
          <w:rPr>
            <w:rStyle w:val="Hyperlink"/>
            <w:rFonts w:ascii="Calibri" w:hAnsi="Calibri" w:cs="Calibri"/>
            <w:sz w:val="22"/>
            <w:szCs w:val="22"/>
          </w:rPr>
          <w:t>https://www.nhqualitycampaign.org/goalDetail.aspx?g=pain</w:t>
        </w:r>
      </w:hyperlink>
    </w:p>
    <w:p w14:paraId="768B4E54" w14:textId="77777777" w:rsidR="008A1B60" w:rsidRPr="008A1B60" w:rsidRDefault="008A1B60" w:rsidP="008A1B60">
      <w:pPr>
        <w:pStyle w:val="NormalWeb"/>
        <w:spacing w:before="0" w:beforeAutospacing="0" w:after="0" w:afterAutospacing="0"/>
        <w:rPr>
          <w:rFonts w:ascii="Calibri" w:hAnsi="Calibri" w:cs="Calibri"/>
          <w:color w:val="000000"/>
          <w:sz w:val="22"/>
          <w:szCs w:val="22"/>
        </w:rPr>
      </w:pPr>
    </w:p>
    <w:p w14:paraId="727CC996" w14:textId="77777777" w:rsidR="008A1B60" w:rsidRPr="008A1B60" w:rsidRDefault="008A1B60" w:rsidP="008A1B60">
      <w:pPr>
        <w:pStyle w:val="ListParagraph"/>
        <w:numPr>
          <w:ilvl w:val="0"/>
          <w:numId w:val="38"/>
        </w:numPr>
        <w:contextualSpacing/>
        <w:rPr>
          <w:rFonts w:ascii="Calibri" w:hAnsi="Calibri" w:cs="Calibri"/>
          <w:color w:val="000000"/>
          <w:sz w:val="22"/>
          <w:szCs w:val="22"/>
        </w:rPr>
      </w:pPr>
      <w:r w:rsidRPr="008A1B60">
        <w:rPr>
          <w:rFonts w:ascii="Calibri" w:hAnsi="Calibri" w:cs="Calibri"/>
          <w:color w:val="000000"/>
          <w:sz w:val="22"/>
          <w:szCs w:val="22"/>
        </w:rPr>
        <w:t>NIH Pain and Pharmacologic Pain Management in Long-Stay Nursing Home Residents. </w:t>
      </w:r>
      <w:hyperlink r:id="rId13" w:history="1">
        <w:r w:rsidRPr="008A1B60">
          <w:rPr>
            <w:rStyle w:val="Hyperlink"/>
            <w:rFonts w:ascii="Calibri" w:hAnsi="Calibri" w:cs="Calibri"/>
            <w:sz w:val="22"/>
            <w:szCs w:val="22"/>
          </w:rPr>
          <w:t>https://www.ncbi.nlm.nih.gov/pmc/articles/PMC5435509/</w:t>
        </w:r>
      </w:hyperlink>
    </w:p>
    <w:p w14:paraId="384E6B2A" w14:textId="77777777" w:rsidR="008A1B60" w:rsidRPr="008A1B60" w:rsidRDefault="008A1B60" w:rsidP="008A1B60">
      <w:pPr>
        <w:rPr>
          <w:rFonts w:ascii="Calibri" w:hAnsi="Calibri" w:cs="Calibri"/>
          <w:sz w:val="22"/>
          <w:szCs w:val="22"/>
        </w:rPr>
      </w:pPr>
    </w:p>
    <w:p w14:paraId="3436A803" w14:textId="79122535" w:rsidR="00245878" w:rsidRPr="008A1B60" w:rsidRDefault="00245878" w:rsidP="008A1B60">
      <w:pPr>
        <w:jc w:val="center"/>
        <w:rPr>
          <w:rFonts w:ascii="Calibri" w:hAnsi="Calibri" w:cs="Calibri"/>
          <w:sz w:val="22"/>
          <w:szCs w:val="22"/>
        </w:rPr>
      </w:pPr>
    </w:p>
    <w:sectPr w:rsidR="00245878" w:rsidRPr="008A1B60" w:rsidSect="00DE7AF9">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F47C" w14:textId="77777777" w:rsidR="00EF7341" w:rsidRDefault="00EF7341" w:rsidP="00FE158D">
      <w:r>
        <w:separator/>
      </w:r>
    </w:p>
  </w:endnote>
  <w:endnote w:type="continuationSeparator" w:id="0">
    <w:p w14:paraId="055F5EFE" w14:textId="77777777" w:rsidR="00EF7341" w:rsidRDefault="00EF734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C651" w14:textId="77777777" w:rsidR="00EF7341" w:rsidRDefault="00EF7341" w:rsidP="00FE158D">
      <w:r>
        <w:separator/>
      </w:r>
    </w:p>
  </w:footnote>
  <w:footnote w:type="continuationSeparator" w:id="0">
    <w:p w14:paraId="1D33E0DC" w14:textId="77777777" w:rsidR="00EF7341" w:rsidRDefault="00EF7341" w:rsidP="00FE158D">
      <w:r>
        <w:continuationSeparator/>
      </w:r>
    </w:p>
  </w:footnote>
  <w:footnote w:id="1">
    <w:p w14:paraId="09F58DE3" w14:textId="16B8D501" w:rsidR="00EC3BC4" w:rsidRPr="00EC3BC4" w:rsidRDefault="00EC3BC4" w:rsidP="00EC3BC4">
      <w:pPr>
        <w:pStyle w:val="ListParagraph"/>
        <w:numPr>
          <w:ilvl w:val="0"/>
          <w:numId w:val="38"/>
        </w:numPr>
        <w:contextualSpacing/>
        <w:rPr>
          <w:rFonts w:ascii="Calibri" w:eastAsia="MS Mincho" w:hAnsi="Calibri" w:cs="Calibri"/>
          <w:sz w:val="16"/>
          <w:szCs w:val="16"/>
        </w:rPr>
      </w:pPr>
      <w:r>
        <w:rPr>
          <w:rStyle w:val="FootnoteReference"/>
        </w:rPr>
        <w:footnoteRef/>
      </w:r>
      <w:r>
        <w:t xml:space="preserve"> </w:t>
      </w:r>
      <w:r w:rsidRPr="00EC3BC4">
        <w:rPr>
          <w:rFonts w:ascii="Calibri" w:eastAsia="MS Mincho" w:hAnsi="Calibri" w:cs="Calibri"/>
          <w:sz w:val="16"/>
          <w:szCs w:val="16"/>
        </w:rPr>
        <w:t xml:space="preserve">Centers for Medicare &amp; Medicaid Services State Operations Manual, Appendix PP – Guidance to Surveyors for Long Term Care Facilities (Rev. 173, 11-22-17):  </w:t>
      </w:r>
      <w:hyperlink r:id="rId1" w:history="1">
        <w:r w:rsidRPr="00EC3BC4">
          <w:rPr>
            <w:rStyle w:val="Hyperlink"/>
            <w:rFonts w:ascii="Calibri" w:eastAsia="MS Mincho" w:hAnsi="Calibri" w:cs="Calibri"/>
            <w:sz w:val="16"/>
            <w:szCs w:val="16"/>
          </w:rPr>
          <w:t>https://www.cms.gov/Regulations-and-Guidance/Guidance/Manuals/downloads/som107ap_pp_guidelines_ltcf.pdf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9E36F37C"/>
    <w:lvl w:ilvl="0" w:tplc="83BE9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CB840D6"/>
    <w:multiLevelType w:val="hybridMultilevel"/>
    <w:tmpl w:val="2228CEAC"/>
    <w:lvl w:ilvl="0" w:tplc="401A93E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47C29CE"/>
    <w:multiLevelType w:val="hybridMultilevel"/>
    <w:tmpl w:val="62304EB0"/>
    <w:lvl w:ilvl="0" w:tplc="401A93E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36A3588E"/>
    <w:multiLevelType w:val="hybridMultilevel"/>
    <w:tmpl w:val="0BC00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5343AA7"/>
    <w:multiLevelType w:val="hybridMultilevel"/>
    <w:tmpl w:val="AF98FA22"/>
    <w:lvl w:ilvl="0" w:tplc="AB5A39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9"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num>
  <w:num w:numId="24">
    <w:abstractNumId w:val="14"/>
  </w:num>
  <w:num w:numId="25">
    <w:abstractNumId w:val="27"/>
  </w:num>
  <w:num w:numId="26">
    <w:abstractNumId w:val="21"/>
  </w:num>
  <w:num w:numId="27">
    <w:abstractNumId w:val="28"/>
  </w:num>
  <w:num w:numId="28">
    <w:abstractNumId w:val="12"/>
  </w:num>
  <w:num w:numId="29">
    <w:abstractNumId w:val="32"/>
  </w:num>
  <w:num w:numId="30">
    <w:abstractNumId w:val="30"/>
  </w:num>
  <w:num w:numId="31">
    <w:abstractNumId w:val="45"/>
  </w:num>
  <w:num w:numId="32">
    <w:abstractNumId w:val="33"/>
  </w:num>
  <w:num w:numId="33">
    <w:abstractNumId w:val="1"/>
  </w:num>
  <w:num w:numId="34">
    <w:abstractNumId w:val="36"/>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7"/>
  </w:num>
  <w:num w:numId="39">
    <w:abstractNumId w:val="4"/>
  </w:num>
  <w:num w:numId="40">
    <w:abstractNumId w:val="3"/>
  </w:num>
  <w:num w:numId="41">
    <w:abstractNumId w:val="6"/>
  </w:num>
  <w:num w:numId="42">
    <w:abstractNumId w:val="49"/>
  </w:num>
  <w:num w:numId="43">
    <w:abstractNumId w:val="42"/>
  </w:num>
  <w:num w:numId="44">
    <w:abstractNumId w:val="44"/>
  </w:num>
  <w:num w:numId="45">
    <w:abstractNumId w:val="47"/>
  </w:num>
  <w:num w:numId="46">
    <w:abstractNumId w:val="23"/>
  </w:num>
  <w:num w:numId="47">
    <w:abstractNumId w:val="39"/>
  </w:num>
  <w:num w:numId="48">
    <w:abstractNumId w:val="2"/>
  </w:num>
  <w:num w:numId="49">
    <w:abstractNumId w:val="25"/>
  </w:num>
  <w:num w:numId="5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C2ABD"/>
    <w:rsid w:val="001E41D3"/>
    <w:rsid w:val="001E4C9D"/>
    <w:rsid w:val="002376A2"/>
    <w:rsid w:val="00245878"/>
    <w:rsid w:val="00257E7E"/>
    <w:rsid w:val="0027488D"/>
    <w:rsid w:val="002B6A29"/>
    <w:rsid w:val="002C5F29"/>
    <w:rsid w:val="002F2B8A"/>
    <w:rsid w:val="003011C7"/>
    <w:rsid w:val="00301AA8"/>
    <w:rsid w:val="00372DF7"/>
    <w:rsid w:val="00373CF0"/>
    <w:rsid w:val="003A3E8D"/>
    <w:rsid w:val="003B0939"/>
    <w:rsid w:val="003D1AFC"/>
    <w:rsid w:val="003F0C77"/>
    <w:rsid w:val="00484844"/>
    <w:rsid w:val="004C2F6B"/>
    <w:rsid w:val="004D26C0"/>
    <w:rsid w:val="004E7603"/>
    <w:rsid w:val="00534CAA"/>
    <w:rsid w:val="0053732B"/>
    <w:rsid w:val="005438CB"/>
    <w:rsid w:val="00593E4B"/>
    <w:rsid w:val="005F036A"/>
    <w:rsid w:val="006034EC"/>
    <w:rsid w:val="00603AC0"/>
    <w:rsid w:val="00605605"/>
    <w:rsid w:val="00610027"/>
    <w:rsid w:val="006338B1"/>
    <w:rsid w:val="00667EDF"/>
    <w:rsid w:val="006A3CC2"/>
    <w:rsid w:val="006B2ED2"/>
    <w:rsid w:val="007251EF"/>
    <w:rsid w:val="00773357"/>
    <w:rsid w:val="00783084"/>
    <w:rsid w:val="007A61F1"/>
    <w:rsid w:val="007F26C3"/>
    <w:rsid w:val="00805910"/>
    <w:rsid w:val="008259FB"/>
    <w:rsid w:val="008659B5"/>
    <w:rsid w:val="008805AE"/>
    <w:rsid w:val="008A1B60"/>
    <w:rsid w:val="008A4A01"/>
    <w:rsid w:val="008E7224"/>
    <w:rsid w:val="00904698"/>
    <w:rsid w:val="009073EC"/>
    <w:rsid w:val="009478FB"/>
    <w:rsid w:val="00951B77"/>
    <w:rsid w:val="009B7479"/>
    <w:rsid w:val="009C106D"/>
    <w:rsid w:val="009C583E"/>
    <w:rsid w:val="009F0488"/>
    <w:rsid w:val="00A039B0"/>
    <w:rsid w:val="00A25232"/>
    <w:rsid w:val="00A57662"/>
    <w:rsid w:val="00A9460A"/>
    <w:rsid w:val="00AB677E"/>
    <w:rsid w:val="00AC0FC3"/>
    <w:rsid w:val="00AD3219"/>
    <w:rsid w:val="00AD4D4B"/>
    <w:rsid w:val="00B019EA"/>
    <w:rsid w:val="00B24FB4"/>
    <w:rsid w:val="00B47BBF"/>
    <w:rsid w:val="00B576FB"/>
    <w:rsid w:val="00BB507F"/>
    <w:rsid w:val="00BF1EB5"/>
    <w:rsid w:val="00C0102E"/>
    <w:rsid w:val="00C170A5"/>
    <w:rsid w:val="00C42B78"/>
    <w:rsid w:val="00C70196"/>
    <w:rsid w:val="00C71D53"/>
    <w:rsid w:val="00DB6D68"/>
    <w:rsid w:val="00DC40AB"/>
    <w:rsid w:val="00DE7AF9"/>
    <w:rsid w:val="00E1054C"/>
    <w:rsid w:val="00E42992"/>
    <w:rsid w:val="00E67E7C"/>
    <w:rsid w:val="00E94EC6"/>
    <w:rsid w:val="00EC3BC4"/>
    <w:rsid w:val="00ED6153"/>
    <w:rsid w:val="00EF0A00"/>
    <w:rsid w:val="00EF7341"/>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5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yperlink" Target="https://urldefense.proofpoint.com/v2/url?u=https-3A__www.ncbi.nlm.nih.gov_pmc_articles_PMC5435509_&amp;d=DwQF-g&amp;c=euGZstcaTDllvimEN8b7jXrwqOf-v5A_CdpgnVfiiMM&amp;r=e619p8B1PHn8vknwQ7KdQFaSjEZ7IPcO-ZalaVYDUqs&amp;m=Qoz3f0KPFKqBX-VGhhhy4MMReZZkJ6Tt_HBvptse_OY&amp;s=VhoxgVm3vBN4NhLoQvYcCKmQaLg6YoFPzMMGWfES1ic&amp;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proofpoint.com/v2/url?u=https-3A__www.nhqualitycampaign.org_goalDetail.aspx-3Fg-3Dpain&amp;d=DwQF-g&amp;c=euGZstcaTDllvimEN8b7jXrwqOf-v5A_CdpgnVfiiMM&amp;r=e619p8B1PHn8vknwQ7KdQFaSjEZ7IPcO-ZalaVYDUqs&amp;m=Qoz3f0KPFKqBX-VGhhhy4MMReZZkJ6Tt_HBvptse_OY&amp;s=mRYexCwkBiyTJLPUm7Qr82ejn6kp1Wkvd2zp_Xdq9K0&am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geriatricpain.org_&amp;d=DwQF-g&amp;c=euGZstcaTDllvimEN8b7jXrwqOf-v5A_CdpgnVfiiMM&amp;r=e619p8B1PHn8vknwQ7KdQFaSjEZ7IPcO-ZalaVYDUqs&amp;m=Qoz3f0KPFKqBX-VGhhhy4MMReZZkJ6Tt_HBvptse_OY&amp;s=cgoMVeIcs12WTlmv7gvoyLIUNUghAmFiOv_FGUpzCQ0&am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ms.gov/Medicare/Quality-Initiatives-Patient-Assessment-Instruments/NursingHomeQualityInits/MDS30RAIManual.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C8CF-87B9-4504-962C-71A79AE3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2019-04-29T17:43:00Z</dcterms:created>
  <dcterms:modified xsi:type="dcterms:W3CDTF">2019-05-08T20:08:00Z</dcterms:modified>
</cp:coreProperties>
</file>