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777F963A" w:rsidR="00E42992" w:rsidRDefault="008A4A01">
                            <w:pPr>
                              <w:rPr>
                                <w:rFonts w:ascii="Calibri" w:hAnsi="Calibri"/>
                                <w:b/>
                                <w:color w:val="FFFFFF" w:themeColor="background1"/>
                                <w:sz w:val="72"/>
                              </w:rPr>
                            </w:pPr>
                            <w:r>
                              <w:rPr>
                                <w:rFonts w:ascii="Calibri" w:hAnsi="Calibri"/>
                                <w:b/>
                                <w:color w:val="FFFFFF" w:themeColor="background1"/>
                                <w:sz w:val="72"/>
                              </w:rPr>
                              <w:t>Medication Management</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777F963A" w:rsidR="00E42992" w:rsidRDefault="008A4A01">
                      <w:pPr>
                        <w:rPr>
                          <w:rFonts w:ascii="Calibri" w:hAnsi="Calibri"/>
                          <w:b/>
                          <w:color w:val="FFFFFF" w:themeColor="background1"/>
                          <w:sz w:val="72"/>
                        </w:rPr>
                      </w:pPr>
                      <w:r>
                        <w:rPr>
                          <w:rFonts w:ascii="Calibri" w:hAnsi="Calibri"/>
                          <w:b/>
                          <w:color w:val="FFFFFF" w:themeColor="background1"/>
                          <w:sz w:val="72"/>
                        </w:rPr>
                        <w:t>Medication Management</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2C76E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2C76E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2C76EA">
                              <w:rPr>
                                <w:rFonts w:asciiTheme="minorHAnsi" w:hAnsiTheme="minorHAnsi"/>
                                <w:color w:val="FFFFFF" w:themeColor="background1"/>
                                <w:sz w:val="48"/>
                                <w:szCs w:val="48"/>
                                <w14:textOutline w14:w="9525" w14:cap="rnd" w14:cmpd="sng" w14:algn="ctr">
                                  <w14:noFill/>
                                  <w14:prstDash w14:val="solid"/>
                                  <w14:bevel/>
                                </w14:textOutline>
                              </w:rPr>
                              <w:t>’</w:t>
                            </w:r>
                            <w:r w:rsidRPr="002C76EA">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2C76E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2C76E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2C76EA">
                        <w:rPr>
                          <w:rFonts w:asciiTheme="minorHAnsi" w:hAnsiTheme="minorHAnsi"/>
                          <w:color w:val="FFFFFF" w:themeColor="background1"/>
                          <w:sz w:val="48"/>
                          <w:szCs w:val="48"/>
                          <w14:textOutline w14:w="9525" w14:cap="rnd" w14:cmpd="sng" w14:algn="ctr">
                            <w14:noFill/>
                            <w14:prstDash w14:val="solid"/>
                            <w14:bevel/>
                          </w14:textOutline>
                        </w:rPr>
                        <w:t>’</w:t>
                      </w:r>
                      <w:r w:rsidRPr="002C76EA">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p>
    <w:p w14:paraId="3EDC9571" w14:textId="47399C2B" w:rsidR="008A4A01" w:rsidRPr="00B47BBF" w:rsidRDefault="008A4A01" w:rsidP="008A4A01">
      <w:pPr>
        <w:jc w:val="center"/>
        <w:rPr>
          <w:rFonts w:ascii="Calibri" w:hAnsi="Calibri" w:cs="Calibri"/>
          <w:b/>
          <w:sz w:val="28"/>
          <w:szCs w:val="28"/>
        </w:rPr>
      </w:pPr>
      <w:r w:rsidRPr="00B47BBF">
        <w:rPr>
          <w:rFonts w:ascii="Calibri" w:hAnsi="Calibri" w:cs="Calibri"/>
          <w:b/>
          <w:sz w:val="28"/>
          <w:szCs w:val="28"/>
        </w:rPr>
        <w:lastRenderedPageBreak/>
        <w:t>Leader</w:t>
      </w:r>
      <w:r w:rsidR="00B47BBF" w:rsidRPr="00B47BBF">
        <w:rPr>
          <w:rFonts w:ascii="Calibri" w:hAnsi="Calibri" w:cs="Calibri"/>
          <w:b/>
          <w:sz w:val="28"/>
          <w:szCs w:val="28"/>
        </w:rPr>
        <w:t>’</w:t>
      </w:r>
      <w:r w:rsidRPr="00B47BBF">
        <w:rPr>
          <w:rFonts w:ascii="Calibri" w:hAnsi="Calibri" w:cs="Calibri"/>
          <w:b/>
          <w:sz w:val="28"/>
          <w:szCs w:val="28"/>
        </w:rPr>
        <w:t>s Guide</w:t>
      </w:r>
    </w:p>
    <w:p w14:paraId="421C179E" w14:textId="77777777" w:rsidR="008A4A01" w:rsidRPr="008A4A01" w:rsidRDefault="008A4A01" w:rsidP="008A4A01">
      <w:pPr>
        <w:jc w:val="center"/>
        <w:rPr>
          <w:rFonts w:ascii="Calibri" w:hAnsi="Calibri" w:cs="Calibri"/>
          <w:b/>
          <w:szCs w:val="24"/>
        </w:rPr>
      </w:pPr>
    </w:p>
    <w:p w14:paraId="2F5DE578" w14:textId="4AC2EADB" w:rsidR="008A4A01" w:rsidRDefault="008A4A01" w:rsidP="008A4A01">
      <w:pPr>
        <w:rPr>
          <w:rFonts w:ascii="Calibri" w:hAnsi="Calibri" w:cs="Calibri"/>
          <w:szCs w:val="24"/>
        </w:rPr>
      </w:pPr>
      <w:r w:rsidRPr="008A4A01">
        <w:rPr>
          <w:rFonts w:ascii="Calibri" w:hAnsi="Calibri" w:cs="Calibri"/>
          <w:szCs w:val="24"/>
        </w:rPr>
        <w:t xml:space="preserve">The nursing home is required to develop and implement a solid system to ensure medication management procedures are in place, only authorized persons will administer medications, personnel administering medications have the skills and competencies to assure resident safety and to attain and/or maintain the highest practicable physical, mental, and psychosocial well-being of each resident. </w:t>
      </w:r>
    </w:p>
    <w:p w14:paraId="32B8A0F6" w14:textId="77777777" w:rsidR="008A4A01" w:rsidRPr="008A4A01" w:rsidRDefault="008A4A01" w:rsidP="008A4A01">
      <w:pPr>
        <w:rPr>
          <w:rFonts w:ascii="Calibri" w:hAnsi="Calibri" w:cs="Calibri"/>
          <w:szCs w:val="24"/>
        </w:rPr>
      </w:pPr>
    </w:p>
    <w:p w14:paraId="40390921" w14:textId="7003C931" w:rsidR="008A4A01" w:rsidRDefault="008A4A01" w:rsidP="008A4A01">
      <w:pPr>
        <w:rPr>
          <w:rFonts w:ascii="Calibri" w:hAnsi="Calibri" w:cs="Calibri"/>
          <w:szCs w:val="24"/>
        </w:rPr>
      </w:pPr>
      <w:r w:rsidRPr="008A4A01">
        <w:rPr>
          <w:rFonts w:ascii="Calibri" w:hAnsi="Calibri" w:cs="Calibri"/>
          <w:szCs w:val="24"/>
        </w:rPr>
        <w:t>Medication management is based in the care proc</w:t>
      </w:r>
      <w:bookmarkStart w:id="0" w:name="_GoBack"/>
      <w:bookmarkEnd w:id="0"/>
      <w:r w:rsidRPr="008A4A01">
        <w:rPr>
          <w:rFonts w:ascii="Calibri" w:hAnsi="Calibri" w:cs="Calibri"/>
          <w:szCs w:val="24"/>
        </w:rPr>
        <w:t>ess and includes recognition or identification of the problem/need, assessment, diagnosis/cause identification, management/treatment, monitoring, and revising interventions, as warranted as well as documenting medication management steps.  The attending physician plays a key leadership role in medication management by developing, monitoring, and modifying the medication regimen in conjunction with residents, their families, and/or representative(s) and other professionals and direct care staff (the IDT).</w:t>
      </w:r>
    </w:p>
    <w:p w14:paraId="5C4A561C" w14:textId="77777777" w:rsidR="008A4A01" w:rsidRPr="008A4A01" w:rsidRDefault="008A4A01" w:rsidP="008A4A01">
      <w:pPr>
        <w:rPr>
          <w:rFonts w:ascii="Calibri" w:hAnsi="Calibri" w:cs="Calibri"/>
          <w:szCs w:val="24"/>
        </w:rPr>
      </w:pPr>
    </w:p>
    <w:p w14:paraId="67201D57" w14:textId="2AD64D02" w:rsidR="008A4A01" w:rsidRDefault="008A4A01" w:rsidP="008A4A01">
      <w:pPr>
        <w:rPr>
          <w:rFonts w:ascii="Calibri" w:hAnsi="Calibri" w:cs="Calibri"/>
          <w:szCs w:val="24"/>
        </w:rPr>
      </w:pPr>
      <w:r w:rsidRPr="008A4A01">
        <w:rPr>
          <w:rFonts w:ascii="Calibri" w:hAnsi="Calibri" w:cs="Calibri"/>
          <w:szCs w:val="24"/>
        </w:rPr>
        <w:t>The Pharmacy Consultant also plays a key role with policies, procedures, program review, education and consultation as well as reviews and audits of the facility medication management program.</w:t>
      </w:r>
    </w:p>
    <w:p w14:paraId="7A552196" w14:textId="77777777" w:rsidR="008A4A01" w:rsidRPr="008A4A01" w:rsidRDefault="008A4A01" w:rsidP="008A4A01">
      <w:pPr>
        <w:rPr>
          <w:rFonts w:ascii="Calibri" w:hAnsi="Calibri" w:cs="Calibri"/>
          <w:szCs w:val="24"/>
        </w:rPr>
      </w:pPr>
    </w:p>
    <w:p w14:paraId="56127117" w14:textId="2EF66BDB" w:rsidR="008A4A01" w:rsidRDefault="008A4A01" w:rsidP="008A4A01">
      <w:pPr>
        <w:rPr>
          <w:rFonts w:ascii="Calibri" w:hAnsi="Calibri" w:cs="Calibri"/>
          <w:szCs w:val="24"/>
        </w:rPr>
      </w:pPr>
      <w:r w:rsidRPr="008A4A01">
        <w:rPr>
          <w:rFonts w:ascii="Calibri" w:hAnsi="Calibri" w:cs="Calibri"/>
          <w:szCs w:val="24"/>
        </w:rPr>
        <w:t>It is important that all staff understand the expectations of the regulators and best practice approaches.  Providers are obligated to comprehensively assess each individual resident and design an individualized plan to support the resident achieving his or her pain goal/highest level of well-being, thereby ensuring a process to education and identify evidence of competency will be essential.</w:t>
      </w:r>
    </w:p>
    <w:p w14:paraId="3E948DD8" w14:textId="77777777" w:rsidR="008A4A01" w:rsidRPr="008A4A01" w:rsidRDefault="008A4A01" w:rsidP="008A4A01">
      <w:pPr>
        <w:rPr>
          <w:rFonts w:ascii="Calibri" w:hAnsi="Calibri" w:cs="Calibri"/>
          <w:szCs w:val="24"/>
        </w:rPr>
      </w:pPr>
    </w:p>
    <w:p w14:paraId="1C895B12" w14:textId="77777777" w:rsidR="008A4A01" w:rsidRPr="008A4A01" w:rsidRDefault="008A4A01" w:rsidP="008A4A01">
      <w:pPr>
        <w:rPr>
          <w:rFonts w:ascii="Calibri" w:hAnsi="Calibri" w:cs="Calibri"/>
          <w:iCs/>
          <w:szCs w:val="24"/>
        </w:rPr>
      </w:pPr>
      <w:r w:rsidRPr="008A4A01">
        <w:rPr>
          <w:rFonts w:ascii="Calibri" w:hAnsi="Calibri" w:cs="Calibri"/>
          <w:iCs/>
          <w:szCs w:val="24"/>
        </w:rPr>
        <w:t>Keeping the individual at their highest level of functioning has a dramatic impact on quality of life.  Center for Medicare and Medicaid Services (CMS) continue to monitor providers’ compliance with comprehensive assessment, planning of care, implementing interventions and re-evaluation.  This includes identification of resources and services necessary to care for all residents as identified in the facility assessment.</w:t>
      </w:r>
    </w:p>
    <w:p w14:paraId="5C77819A" w14:textId="77777777" w:rsidR="008A4A01" w:rsidRPr="008A4A01" w:rsidRDefault="008A4A01" w:rsidP="008A4A01">
      <w:pPr>
        <w:rPr>
          <w:rFonts w:ascii="Calibri" w:hAnsi="Calibri" w:cs="Calibri"/>
          <w:iCs/>
          <w:szCs w:val="24"/>
        </w:rPr>
      </w:pPr>
      <w:r w:rsidRPr="008A4A01">
        <w:rPr>
          <w:rFonts w:ascii="Calibri" w:hAnsi="Calibri" w:cs="Calibri"/>
          <w:iCs/>
          <w:szCs w:val="24"/>
        </w:rPr>
        <w:br w:type="page"/>
      </w:r>
    </w:p>
    <w:p w14:paraId="6FB3D665" w14:textId="641276C7" w:rsidR="008A4A01" w:rsidRDefault="008A4A01" w:rsidP="008A4A01">
      <w:pPr>
        <w:rPr>
          <w:rFonts w:ascii="Calibri" w:hAnsi="Calibri" w:cs="Calibri"/>
          <w:szCs w:val="24"/>
        </w:rPr>
      </w:pPr>
      <w:r w:rsidRPr="008A4A01">
        <w:rPr>
          <w:rFonts w:ascii="Calibri" w:hAnsi="Calibri" w:cs="Calibri"/>
          <w:szCs w:val="24"/>
        </w:rPr>
        <w:lastRenderedPageBreak/>
        <w:t>Organizational Leaders will need to ensure competency of all staff members involved in medication administration.  Adequate resources for the program will need to be evaluated including:</w:t>
      </w:r>
    </w:p>
    <w:p w14:paraId="33638BEE" w14:textId="77777777" w:rsidR="008A4A01" w:rsidRPr="008A4A01" w:rsidRDefault="008A4A01" w:rsidP="008A4A01">
      <w:pPr>
        <w:rPr>
          <w:rFonts w:ascii="Calibri" w:hAnsi="Calibri" w:cs="Calibri"/>
          <w:szCs w:val="24"/>
        </w:rPr>
      </w:pPr>
    </w:p>
    <w:p w14:paraId="6134DEA5" w14:textId="77777777" w:rsidR="008A4A01" w:rsidRPr="008A4A01" w:rsidRDefault="008A4A01" w:rsidP="008A4A01">
      <w:pPr>
        <w:pStyle w:val="ListParagraph"/>
        <w:numPr>
          <w:ilvl w:val="0"/>
          <w:numId w:val="37"/>
        </w:numPr>
        <w:contextualSpacing/>
        <w:rPr>
          <w:rFonts w:ascii="Calibri" w:hAnsi="Calibri" w:cs="Calibri"/>
          <w:szCs w:val="24"/>
        </w:rPr>
      </w:pPr>
      <w:r w:rsidRPr="008A4A01">
        <w:rPr>
          <w:rFonts w:ascii="Calibri" w:hAnsi="Calibri" w:cs="Calibri"/>
          <w:szCs w:val="24"/>
        </w:rPr>
        <w:t>Staff</w:t>
      </w:r>
    </w:p>
    <w:p w14:paraId="444E46D1"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RN Nurse</w:t>
      </w:r>
    </w:p>
    <w:p w14:paraId="09FFA8D4"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Licensed Nurses</w:t>
      </w:r>
    </w:p>
    <w:p w14:paraId="2FFC8BE2"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CNA’s</w:t>
      </w:r>
    </w:p>
    <w:p w14:paraId="068F1FCB"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Interdisciplinary Staff with resident contact</w:t>
      </w:r>
    </w:p>
    <w:p w14:paraId="3BC3552F" w14:textId="77777777" w:rsidR="008A4A01" w:rsidRPr="008A4A01" w:rsidRDefault="008A4A01" w:rsidP="008A4A01">
      <w:pPr>
        <w:pStyle w:val="ListParagraph"/>
        <w:numPr>
          <w:ilvl w:val="0"/>
          <w:numId w:val="37"/>
        </w:numPr>
        <w:contextualSpacing/>
        <w:rPr>
          <w:rFonts w:ascii="Calibri" w:hAnsi="Calibri" w:cs="Calibri"/>
          <w:szCs w:val="24"/>
        </w:rPr>
      </w:pPr>
      <w:r w:rsidRPr="008A4A01">
        <w:rPr>
          <w:rFonts w:ascii="Calibri" w:hAnsi="Calibri" w:cs="Calibri"/>
          <w:szCs w:val="24"/>
        </w:rPr>
        <w:t>Documentation Considerations</w:t>
      </w:r>
    </w:p>
    <w:p w14:paraId="4FA7CCE2"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Paper vs. Electronic Health Record</w:t>
      </w:r>
    </w:p>
    <w:p w14:paraId="736BC7A6"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Assessment/Evaluation Forms</w:t>
      </w:r>
    </w:p>
    <w:p w14:paraId="08D72B70"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Care Planning</w:t>
      </w:r>
    </w:p>
    <w:p w14:paraId="41AA0C2E"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Implementation and documentation of interventions</w:t>
      </w:r>
    </w:p>
    <w:p w14:paraId="33A205CC"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Documentation</w:t>
      </w:r>
    </w:p>
    <w:p w14:paraId="69C528B7" w14:textId="77777777" w:rsidR="008A4A01" w:rsidRPr="008A4A01" w:rsidRDefault="008A4A01" w:rsidP="008A4A01">
      <w:pPr>
        <w:pStyle w:val="ListParagraph"/>
        <w:numPr>
          <w:ilvl w:val="0"/>
          <w:numId w:val="37"/>
        </w:numPr>
        <w:contextualSpacing/>
        <w:rPr>
          <w:rFonts w:ascii="Calibri" w:hAnsi="Calibri" w:cs="Calibri"/>
          <w:szCs w:val="24"/>
        </w:rPr>
      </w:pPr>
      <w:r w:rsidRPr="008A4A01">
        <w:rPr>
          <w:rFonts w:ascii="Calibri" w:hAnsi="Calibri" w:cs="Calibri"/>
          <w:szCs w:val="24"/>
        </w:rPr>
        <w:t>Education</w:t>
      </w:r>
    </w:p>
    <w:p w14:paraId="4BB7EADE"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RN Nurse</w:t>
      </w:r>
    </w:p>
    <w:p w14:paraId="69BA202F"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Licensed Nurses</w:t>
      </w:r>
    </w:p>
    <w:p w14:paraId="2471AD9A"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 xml:space="preserve">Non-licensed Personnel permitted by State Law for Medication Administration </w:t>
      </w:r>
    </w:p>
    <w:p w14:paraId="381DB075"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CNA’s</w:t>
      </w:r>
    </w:p>
    <w:p w14:paraId="6607453A"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Interdisciplinary Staff with resident contact</w:t>
      </w:r>
    </w:p>
    <w:p w14:paraId="3FF7C246" w14:textId="77777777" w:rsidR="008A4A01" w:rsidRPr="008A4A01" w:rsidRDefault="008A4A01" w:rsidP="008A4A01">
      <w:pPr>
        <w:pStyle w:val="ListParagraph"/>
        <w:numPr>
          <w:ilvl w:val="0"/>
          <w:numId w:val="37"/>
        </w:numPr>
        <w:contextualSpacing/>
        <w:rPr>
          <w:rFonts w:ascii="Calibri" w:hAnsi="Calibri" w:cs="Calibri"/>
          <w:szCs w:val="24"/>
        </w:rPr>
      </w:pPr>
      <w:r w:rsidRPr="008A4A01">
        <w:rPr>
          <w:rFonts w:ascii="Calibri" w:hAnsi="Calibri" w:cs="Calibri"/>
          <w:szCs w:val="24"/>
        </w:rPr>
        <w:t>Evaluation and Monitoring</w:t>
      </w:r>
    </w:p>
    <w:p w14:paraId="1EE4C91B"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Identification of Responsibility</w:t>
      </w:r>
    </w:p>
    <w:p w14:paraId="4A03C3D6"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System to Evaluate</w:t>
      </w:r>
    </w:p>
    <w:p w14:paraId="0D7CB6F9" w14:textId="77777777" w:rsidR="008A4A01" w:rsidRPr="008A4A01" w:rsidRDefault="008A4A01" w:rsidP="008A4A01">
      <w:pPr>
        <w:pStyle w:val="ListParagraph"/>
        <w:numPr>
          <w:ilvl w:val="1"/>
          <w:numId w:val="37"/>
        </w:numPr>
        <w:contextualSpacing/>
        <w:rPr>
          <w:rFonts w:ascii="Calibri" w:hAnsi="Calibri" w:cs="Calibri"/>
          <w:szCs w:val="24"/>
        </w:rPr>
      </w:pPr>
      <w:r w:rsidRPr="008A4A01">
        <w:rPr>
          <w:rFonts w:ascii="Calibri" w:hAnsi="Calibri" w:cs="Calibri"/>
          <w:szCs w:val="24"/>
        </w:rPr>
        <w:t>QAPI Considerations</w:t>
      </w:r>
    </w:p>
    <w:p w14:paraId="048413DA" w14:textId="77777777" w:rsidR="008A4A01" w:rsidRPr="008A4A01" w:rsidRDefault="008A4A01" w:rsidP="008A4A01">
      <w:pPr>
        <w:pStyle w:val="ListParagraph"/>
        <w:numPr>
          <w:ilvl w:val="0"/>
          <w:numId w:val="37"/>
        </w:numPr>
        <w:contextualSpacing/>
        <w:rPr>
          <w:rFonts w:ascii="Calibri" w:hAnsi="Calibri" w:cs="Calibri"/>
          <w:szCs w:val="24"/>
        </w:rPr>
      </w:pPr>
      <w:r w:rsidRPr="008A4A01">
        <w:rPr>
          <w:rFonts w:ascii="Calibri" w:hAnsi="Calibri" w:cs="Calibri"/>
          <w:szCs w:val="24"/>
        </w:rPr>
        <w:t>Supplies and Equipment</w:t>
      </w:r>
    </w:p>
    <w:p w14:paraId="59FA37CF" w14:textId="77777777" w:rsidR="008A4A01" w:rsidRPr="008A4A01" w:rsidRDefault="008A4A01" w:rsidP="008A4A01">
      <w:pPr>
        <w:pStyle w:val="ListParagraph"/>
        <w:numPr>
          <w:ilvl w:val="0"/>
          <w:numId w:val="37"/>
        </w:numPr>
        <w:contextualSpacing/>
        <w:rPr>
          <w:rFonts w:ascii="Calibri" w:hAnsi="Calibri" w:cs="Calibri"/>
          <w:szCs w:val="24"/>
        </w:rPr>
      </w:pPr>
      <w:r w:rsidRPr="008A4A01">
        <w:rPr>
          <w:rFonts w:ascii="Calibri" w:hAnsi="Calibri" w:cs="Calibri"/>
          <w:szCs w:val="24"/>
        </w:rPr>
        <w:t>Medication Management</w:t>
      </w:r>
    </w:p>
    <w:p w14:paraId="6F3BE114" w14:textId="77777777" w:rsidR="008A4A01" w:rsidRPr="008A4A01" w:rsidRDefault="008A4A01" w:rsidP="008A4A01">
      <w:pPr>
        <w:rPr>
          <w:rFonts w:ascii="Calibri" w:hAnsi="Calibri" w:cs="Calibri"/>
          <w:b/>
          <w:szCs w:val="24"/>
        </w:rPr>
      </w:pPr>
    </w:p>
    <w:p w14:paraId="3436A803" w14:textId="494D8B0F" w:rsidR="00245878" w:rsidRPr="008A4A01" w:rsidRDefault="00245878" w:rsidP="008A4A01">
      <w:pPr>
        <w:pStyle w:val="NoSpacing"/>
        <w:rPr>
          <w:rFonts w:ascii="Calibri" w:hAnsi="Calibri" w:cs="Calibri"/>
          <w:sz w:val="24"/>
          <w:szCs w:val="24"/>
        </w:rPr>
      </w:pPr>
      <w:r w:rsidRPr="008A4A01">
        <w:rPr>
          <w:rFonts w:ascii="Calibri" w:hAnsi="Calibri" w:cs="Calibri"/>
          <w:sz w:val="24"/>
          <w:szCs w:val="24"/>
        </w:rPr>
        <w:t xml:space="preserve"> </w:t>
      </w:r>
    </w:p>
    <w:sectPr w:rsidR="00245878" w:rsidRPr="008A4A01"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6E4D" w14:textId="77777777" w:rsidR="005757C9" w:rsidRDefault="005757C9" w:rsidP="00FE158D">
      <w:r>
        <w:separator/>
      </w:r>
    </w:p>
  </w:endnote>
  <w:endnote w:type="continuationSeparator" w:id="0">
    <w:p w14:paraId="72C45979" w14:textId="77777777" w:rsidR="005757C9" w:rsidRDefault="005757C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1C6F" w14:textId="77777777" w:rsidR="005757C9" w:rsidRDefault="005757C9" w:rsidP="00FE158D">
      <w:r>
        <w:separator/>
      </w:r>
    </w:p>
  </w:footnote>
  <w:footnote w:type="continuationSeparator" w:id="0">
    <w:p w14:paraId="640EBD3E" w14:textId="77777777" w:rsidR="005757C9" w:rsidRDefault="005757C9"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5"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6"/>
  </w:num>
  <w:num w:numId="24">
    <w:abstractNumId w:val="14"/>
  </w:num>
  <w:num w:numId="25">
    <w:abstractNumId w:val="24"/>
  </w:num>
  <w:num w:numId="26">
    <w:abstractNumId w:val="20"/>
  </w:num>
  <w:num w:numId="27">
    <w:abstractNumId w:val="25"/>
  </w:num>
  <w:num w:numId="28">
    <w:abstractNumId w:val="12"/>
  </w:num>
  <w:num w:numId="29">
    <w:abstractNumId w:val="29"/>
  </w:num>
  <w:num w:numId="30">
    <w:abstractNumId w:val="27"/>
  </w:num>
  <w:num w:numId="31">
    <w:abstractNumId w:val="41"/>
  </w:num>
  <w:num w:numId="32">
    <w:abstractNumId w:val="30"/>
  </w:num>
  <w:num w:numId="33">
    <w:abstractNumId w:val="1"/>
  </w:num>
  <w:num w:numId="34">
    <w:abstractNumId w:val="33"/>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7"/>
  </w:num>
  <w:num w:numId="39">
    <w:abstractNumId w:val="4"/>
  </w:num>
  <w:num w:numId="40">
    <w:abstractNumId w:val="3"/>
  </w:num>
  <w:num w:numId="41">
    <w:abstractNumId w:val="6"/>
  </w:num>
  <w:num w:numId="42">
    <w:abstractNumId w:val="45"/>
  </w:num>
  <w:num w:numId="43">
    <w:abstractNumId w:val="38"/>
  </w:num>
  <w:num w:numId="44">
    <w:abstractNumId w:val="40"/>
  </w:num>
  <w:num w:numId="45">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E4C9D"/>
    <w:rsid w:val="002376A2"/>
    <w:rsid w:val="00245878"/>
    <w:rsid w:val="00257E7E"/>
    <w:rsid w:val="0027488D"/>
    <w:rsid w:val="002B6A29"/>
    <w:rsid w:val="002C5F29"/>
    <w:rsid w:val="002C76EA"/>
    <w:rsid w:val="002F2B8A"/>
    <w:rsid w:val="003011C7"/>
    <w:rsid w:val="00301AA8"/>
    <w:rsid w:val="00372DF7"/>
    <w:rsid w:val="00373CF0"/>
    <w:rsid w:val="003A3E8D"/>
    <w:rsid w:val="003B0939"/>
    <w:rsid w:val="003D1AFC"/>
    <w:rsid w:val="003F0C77"/>
    <w:rsid w:val="00484844"/>
    <w:rsid w:val="004C2F6B"/>
    <w:rsid w:val="004E7603"/>
    <w:rsid w:val="00534CAA"/>
    <w:rsid w:val="0053732B"/>
    <w:rsid w:val="005438CB"/>
    <w:rsid w:val="005757C9"/>
    <w:rsid w:val="00593E4B"/>
    <w:rsid w:val="005F036A"/>
    <w:rsid w:val="006034EC"/>
    <w:rsid w:val="00603AC0"/>
    <w:rsid w:val="00605605"/>
    <w:rsid w:val="00610027"/>
    <w:rsid w:val="006338B1"/>
    <w:rsid w:val="00667EDF"/>
    <w:rsid w:val="006A3CC2"/>
    <w:rsid w:val="006B2ED2"/>
    <w:rsid w:val="007251EF"/>
    <w:rsid w:val="00783084"/>
    <w:rsid w:val="007A61F1"/>
    <w:rsid w:val="007F26C3"/>
    <w:rsid w:val="00805910"/>
    <w:rsid w:val="008259FB"/>
    <w:rsid w:val="008659B5"/>
    <w:rsid w:val="008805AE"/>
    <w:rsid w:val="008A4A01"/>
    <w:rsid w:val="008E7224"/>
    <w:rsid w:val="00904698"/>
    <w:rsid w:val="009073EC"/>
    <w:rsid w:val="009478FB"/>
    <w:rsid w:val="00951B77"/>
    <w:rsid w:val="009B7479"/>
    <w:rsid w:val="009C106D"/>
    <w:rsid w:val="009C583E"/>
    <w:rsid w:val="009F0488"/>
    <w:rsid w:val="00A039B0"/>
    <w:rsid w:val="00A25232"/>
    <w:rsid w:val="00A57662"/>
    <w:rsid w:val="00A9460A"/>
    <w:rsid w:val="00AB677E"/>
    <w:rsid w:val="00AC0FC3"/>
    <w:rsid w:val="00AD3219"/>
    <w:rsid w:val="00AD4D4B"/>
    <w:rsid w:val="00B019EA"/>
    <w:rsid w:val="00B24FB4"/>
    <w:rsid w:val="00B47BBF"/>
    <w:rsid w:val="00B576FB"/>
    <w:rsid w:val="00BB507F"/>
    <w:rsid w:val="00BF1EB5"/>
    <w:rsid w:val="00C0102E"/>
    <w:rsid w:val="00C170A5"/>
    <w:rsid w:val="00C42B78"/>
    <w:rsid w:val="00C70196"/>
    <w:rsid w:val="00C71D53"/>
    <w:rsid w:val="00DB6D68"/>
    <w:rsid w:val="00DC40AB"/>
    <w:rsid w:val="00DE7AF9"/>
    <w:rsid w:val="00E1054C"/>
    <w:rsid w:val="00E42992"/>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3992-145A-42B6-B471-73279321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6</cp:revision>
  <dcterms:created xsi:type="dcterms:W3CDTF">2019-04-24T14:17:00Z</dcterms:created>
  <dcterms:modified xsi:type="dcterms:W3CDTF">2019-05-08T19:39:00Z</dcterms:modified>
</cp:coreProperties>
</file>