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10658780" w:rsidR="00301AA8" w:rsidRPr="005E4A3D" w:rsidRDefault="00AF5E48">
                            <w:pPr>
                              <w:rPr>
                                <w:rFonts w:ascii="Calibri" w:hAnsi="Calibri"/>
                                <w:b/>
                                <w:color w:val="FFFFFF" w:themeColor="background1"/>
                                <w:sz w:val="72"/>
                              </w:rPr>
                            </w:pPr>
                            <w:r>
                              <w:rPr>
                                <w:rFonts w:ascii="Calibri" w:hAnsi="Calibri"/>
                                <w:b/>
                                <w:color w:val="FFFFFF" w:themeColor="background1"/>
                                <w:sz w:val="72"/>
                              </w:rPr>
                              <w:t>Food and Nutrition Cultural</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10658780" w:rsidR="00301AA8" w:rsidRPr="005E4A3D" w:rsidRDefault="00AF5E48">
                      <w:pPr>
                        <w:rPr>
                          <w:rFonts w:ascii="Calibri" w:hAnsi="Calibri"/>
                          <w:b/>
                          <w:color w:val="FFFFFF" w:themeColor="background1"/>
                          <w:sz w:val="72"/>
                        </w:rPr>
                      </w:pPr>
                      <w:r>
                        <w:rPr>
                          <w:rFonts w:ascii="Calibri" w:hAnsi="Calibri"/>
                          <w:b/>
                          <w:color w:val="FFFFFF" w:themeColor="background1"/>
                          <w:sz w:val="72"/>
                        </w:rPr>
                        <w:t>Food and Nutrition Cultural</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2F9E24DE">
                <wp:simplePos x="0" y="0"/>
                <wp:positionH relativeFrom="column">
                  <wp:posOffset>10795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37741B9" w:rsidR="00484844" w:rsidRPr="007A0C8B" w:rsidRDefault="00D04A08">
                            <w:pPr>
                              <w:rPr>
                                <w:rFonts w:asciiTheme="minorHAnsi" w:hAnsiTheme="minorHAnsi"/>
                                <w:color w:val="FFFFFF" w:themeColor="background1"/>
                                <w:sz w:val="48"/>
                                <w:szCs w:val="48"/>
                                <w14:textOutline w14:w="9525" w14:cap="rnd" w14:cmpd="sng" w14:algn="ctr">
                                  <w14:noFill/>
                                  <w14:prstDash w14:val="solid"/>
                                  <w14:bevel/>
                                </w14:textOutline>
                              </w:rPr>
                            </w:pPr>
                            <w:r w:rsidRPr="007A0C8B">
                              <w:rPr>
                                <w:rFonts w:asciiTheme="minorHAnsi" w:hAnsiTheme="minorHAnsi"/>
                                <w:color w:val="FFFFFF" w:themeColor="background1"/>
                                <w:sz w:val="48"/>
                                <w:szCs w:val="48"/>
                                <w14:textOutline w14:w="9525" w14:cap="rnd" w14:cmpd="sng" w14:algn="ctr">
                                  <w14:noFill/>
                                  <w14:prstDash w14:val="solid"/>
                                  <w14:bevel/>
                                </w14:textOutline>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WWfhvgAAAACAEAAA8AAABkcnMvZG93bnJldi54bWxMj0FPwkAQhe8m/ofNmHiTrQUplG4JaUJM&#10;jBxALt623aFt7M7W7gLVX+940uOb9/Lme9l6tJ244OBbRwoeJxEIpMqZlmoFx7ftwwKED5qM7hyh&#10;gi/0sM5vbzKdGnelPV4OoRZcQj7VCpoQ+lRKXzVotZ+4Hom9kxusDiyHWppBX7ncdjKOorm0uiX+&#10;0Ogeiwarj8PZKngptju9L2O7+O6K59fTpv88vj8pdX83blYgAo7hLwy/+IwOOTOV7kzGi451wkEF&#10;yXwGgu3lNOFDqSBOZlOQeSb/D8h/AAAA//8DAFBLAQItABQABgAIAAAAIQC2gziS/gAAAOEBAAAT&#10;AAAAAAAAAAAAAAAAAAAAAABbQ29udGVudF9UeXBlc10ueG1sUEsBAi0AFAAGAAgAAAAhADj9If/W&#10;AAAAlAEAAAsAAAAAAAAAAAAAAAAALwEAAF9yZWxzLy5yZWxzUEsBAi0AFAAGAAgAAAAhAAqXTEx/&#10;AgAAagUAAA4AAAAAAAAAAAAAAAAALgIAAGRycy9lMm9Eb2MueG1sUEsBAi0AFAAGAAgAAAAhAGWW&#10;fhvgAAAACAEAAA8AAAAAAAAAAAAAAAAA2QQAAGRycy9kb3ducmV2LnhtbFBLBQYAAAAABAAEAPMA&#10;AADmBQAAAAA=&#10;" filled="f" stroked="f" strokeweight=".5pt">
                <v:textbox>
                  <w:txbxContent>
                    <w:p w14:paraId="030DB412" w14:textId="637741B9" w:rsidR="00484844" w:rsidRPr="007A0C8B" w:rsidRDefault="00D04A08">
                      <w:pPr>
                        <w:rPr>
                          <w:rFonts w:asciiTheme="minorHAnsi" w:hAnsiTheme="minorHAnsi"/>
                          <w:color w:val="FFFFFF" w:themeColor="background1"/>
                          <w:sz w:val="48"/>
                          <w:szCs w:val="48"/>
                          <w14:textOutline w14:w="9525" w14:cap="rnd" w14:cmpd="sng" w14:algn="ctr">
                            <w14:noFill/>
                            <w14:prstDash w14:val="solid"/>
                            <w14:bevel/>
                          </w14:textOutline>
                        </w:rPr>
                      </w:pPr>
                      <w:r w:rsidRPr="007A0C8B">
                        <w:rPr>
                          <w:rFonts w:asciiTheme="minorHAnsi" w:hAnsiTheme="minorHAnsi"/>
                          <w:color w:val="FFFFFF" w:themeColor="background1"/>
                          <w:sz w:val="48"/>
                          <w:szCs w:val="48"/>
                          <w14:textOutline w14:w="9525" w14:cap="rnd" w14:cmpd="sng" w14:algn="ctr">
                            <w14:noFill/>
                            <w14:prstDash w14:val="solid"/>
                            <w14:bevel/>
                          </w14:textOutline>
                        </w:rPr>
                        <w:t>Leader’s Guide</w:t>
                      </w:r>
                    </w:p>
                  </w:txbxContent>
                </v:textbox>
              </v:shape>
            </w:pict>
          </mc:Fallback>
        </mc:AlternateContent>
      </w:r>
      <w:r w:rsidR="00DE7AF9">
        <w:rPr>
          <w:rFonts w:ascii="Calibri" w:hAnsi="Calibri"/>
          <w:b/>
          <w:sz w:val="32"/>
        </w:rPr>
        <w:br w:type="page"/>
      </w:r>
    </w:p>
    <w:p w14:paraId="38594E0F" w14:textId="6F667055" w:rsidR="00AF5E48" w:rsidRPr="00D04A08" w:rsidRDefault="00AF5E48" w:rsidP="00D04A08">
      <w:pPr>
        <w:jc w:val="center"/>
        <w:rPr>
          <w:rFonts w:ascii="Calibri" w:hAnsi="Calibri" w:cs="Calibri"/>
          <w:b/>
          <w:sz w:val="28"/>
          <w:szCs w:val="28"/>
        </w:rPr>
      </w:pPr>
      <w:r w:rsidRPr="00D04A08">
        <w:rPr>
          <w:rFonts w:ascii="Calibri" w:hAnsi="Calibri" w:cs="Calibri"/>
          <w:b/>
          <w:sz w:val="28"/>
          <w:szCs w:val="28"/>
        </w:rPr>
        <w:lastRenderedPageBreak/>
        <w:t>Food and Nutrition Cultural Competency</w:t>
      </w:r>
    </w:p>
    <w:p w14:paraId="7C4B3818" w14:textId="77777777" w:rsidR="00D04A08" w:rsidRDefault="00D04A08" w:rsidP="00D04A08">
      <w:pPr>
        <w:rPr>
          <w:rFonts w:ascii="Calibri" w:hAnsi="Calibri" w:cs="Calibri"/>
          <w:b/>
          <w:szCs w:val="24"/>
        </w:rPr>
      </w:pPr>
    </w:p>
    <w:p w14:paraId="168FD083" w14:textId="6C651107" w:rsidR="00D04A08" w:rsidRDefault="00D04A08" w:rsidP="00D04A08">
      <w:pPr>
        <w:rPr>
          <w:rFonts w:ascii="Calibri" w:hAnsi="Calibri" w:cs="Calibri"/>
          <w:b/>
          <w:szCs w:val="24"/>
        </w:rPr>
      </w:pPr>
      <w:r w:rsidRPr="00D04A08">
        <w:rPr>
          <w:rFonts w:ascii="Calibri" w:hAnsi="Calibri" w:cs="Calibri"/>
          <w:b/>
          <w:szCs w:val="24"/>
        </w:rPr>
        <w:t>Leader’s Guide</w:t>
      </w:r>
    </w:p>
    <w:p w14:paraId="5964001C" w14:textId="77777777" w:rsidR="00D04A08" w:rsidRPr="00D04A08" w:rsidRDefault="00D04A08" w:rsidP="00D04A08">
      <w:pPr>
        <w:jc w:val="center"/>
        <w:rPr>
          <w:rFonts w:ascii="Calibri" w:hAnsi="Calibri" w:cs="Calibri"/>
          <w:b/>
          <w:szCs w:val="24"/>
        </w:rPr>
      </w:pPr>
    </w:p>
    <w:p w14:paraId="263EF806" w14:textId="77777777" w:rsidR="00D04A08" w:rsidRPr="00D04A08" w:rsidRDefault="00D04A08" w:rsidP="00D04A08">
      <w:pPr>
        <w:rPr>
          <w:rFonts w:ascii="Calibri" w:hAnsi="Calibri" w:cs="Calibri"/>
          <w:sz w:val="22"/>
          <w:szCs w:val="22"/>
        </w:rPr>
      </w:pPr>
      <w:r w:rsidRPr="00D04A08">
        <w:rPr>
          <w:rFonts w:ascii="Calibri" w:hAnsi="Calibri" w:cs="Calibri"/>
          <w:sz w:val="22"/>
          <w:szCs w:val="22"/>
        </w:rPr>
        <w:t>Throughout the United States, demographic changes are occurring among both residents and staff.  Successful nursing facilities will not only be aware of these changes but will also address the impact these changes have on both the provision and the receipt of food and nutrition services.</w:t>
      </w:r>
    </w:p>
    <w:p w14:paraId="4CFDAD30" w14:textId="77777777" w:rsidR="00D04A08" w:rsidRPr="00D04A08" w:rsidRDefault="00D04A08" w:rsidP="00D04A08">
      <w:pPr>
        <w:rPr>
          <w:rFonts w:ascii="Calibri" w:hAnsi="Calibri" w:cs="Calibri"/>
          <w:sz w:val="22"/>
          <w:szCs w:val="22"/>
        </w:rPr>
      </w:pPr>
    </w:p>
    <w:p w14:paraId="58BDCE21" w14:textId="6CB3E8FA" w:rsidR="00D04A08" w:rsidRPr="00D04A08" w:rsidRDefault="00D04A08" w:rsidP="00D04A08">
      <w:pPr>
        <w:rPr>
          <w:rFonts w:ascii="Calibri" w:hAnsi="Calibri" w:cs="Calibri"/>
          <w:sz w:val="22"/>
          <w:szCs w:val="22"/>
        </w:rPr>
      </w:pPr>
      <w:r w:rsidRPr="00D04A08">
        <w:rPr>
          <w:rFonts w:ascii="Calibri" w:hAnsi="Calibri" w:cs="Calibri"/>
          <w:sz w:val="22"/>
          <w:szCs w:val="22"/>
        </w:rPr>
        <w:t>All residents have rights guaranteed to them under federal and state laws.  Each resident has the right to be treated with dignity and respect.  This includes respect for one’s cultural beliefs and practices.  All activities and interactions with residents by any staff, temporary agency staff, or volunteers must focus on assisting the resident in maintaining and enhancing their self-esteem and self-worth and incorporating the resident’s goals, preferences, and choices.  When providing care and services, staff must respect each resident’s individuality, as well as honor and value their input.</w:t>
      </w:r>
    </w:p>
    <w:p w14:paraId="3D1D647A" w14:textId="77777777"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p>
    <w:p w14:paraId="04999A90" w14:textId="3AE9F9B5"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r w:rsidRPr="00D04A08">
        <w:rPr>
          <w:rFonts w:ascii="Calibri" w:hAnsi="Calibri" w:cs="Calibri"/>
          <w:color w:val="333333"/>
          <w:sz w:val="22"/>
          <w:szCs w:val="22"/>
        </w:rPr>
        <w:t xml:space="preserve">Food and Nutrition Cultural Competency is extremely important in the field of healthcare. Both the organization and the individual caregiver must examine cultural biases and learned prejudices, develop active listening and effective communication skills, and spend time with others who are working on their own cultural competency. </w:t>
      </w:r>
    </w:p>
    <w:p w14:paraId="60DCC2FA" w14:textId="77777777"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p>
    <w:p w14:paraId="13CB403C" w14:textId="2BA4805A"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r w:rsidRPr="00D04A08">
        <w:rPr>
          <w:rFonts w:ascii="Calibri" w:hAnsi="Calibri" w:cs="Calibri"/>
          <w:color w:val="333333"/>
          <w:sz w:val="22"/>
          <w:szCs w:val="22"/>
        </w:rPr>
        <w:t>The key components for a high degree of Food and Nutrition Cultural Competency include awareness, knowledge, attitude, and skills.  Awareness of one’s own biases and reactions to people who are of different cultures or backgrounds is the first step.  Gaining knowledge allows a person to analyze their own belief systems and attitudes.  Skills incorporate not only these components but also those associated with the facility’s food preparation and dining functions.</w:t>
      </w:r>
    </w:p>
    <w:p w14:paraId="3D092DFA" w14:textId="77777777" w:rsidR="00D04A08" w:rsidRPr="00D04A08" w:rsidRDefault="00D04A08" w:rsidP="00D04A08">
      <w:pPr>
        <w:pStyle w:val="NormalWeb"/>
        <w:shd w:val="clear" w:color="auto" w:fill="FFFFFF"/>
        <w:spacing w:before="0" w:beforeAutospacing="0" w:after="0" w:afterAutospacing="0"/>
        <w:rPr>
          <w:rFonts w:ascii="Calibri" w:hAnsi="Calibri" w:cs="Calibri"/>
          <w:iCs/>
          <w:sz w:val="22"/>
          <w:szCs w:val="22"/>
        </w:rPr>
      </w:pPr>
    </w:p>
    <w:p w14:paraId="776C00EE" w14:textId="1030D933" w:rsidR="00D04A08" w:rsidRPr="00D04A08" w:rsidRDefault="00D04A08" w:rsidP="00D04A08">
      <w:pPr>
        <w:pStyle w:val="NormalWeb"/>
        <w:shd w:val="clear" w:color="auto" w:fill="FFFFFF"/>
        <w:spacing w:before="0" w:beforeAutospacing="0" w:after="0" w:afterAutospacing="0"/>
        <w:rPr>
          <w:rFonts w:ascii="Calibri" w:hAnsi="Calibri" w:cs="Calibri"/>
          <w:iCs/>
          <w:sz w:val="22"/>
          <w:szCs w:val="22"/>
        </w:rPr>
      </w:pPr>
      <w:r w:rsidRPr="00D04A08">
        <w:rPr>
          <w:rFonts w:ascii="Calibri" w:hAnsi="Calibri" w:cs="Calibri"/>
          <w:iCs/>
          <w:sz w:val="22"/>
          <w:szCs w:val="22"/>
        </w:rPr>
        <w:t>Item A1100A of the MDS 3.0 asks, “Does the resident need or want an interpreter to communicate with a doctor or health care staff?”</w:t>
      </w:r>
      <w:r w:rsidRPr="00D04A08">
        <w:rPr>
          <w:rStyle w:val="FootnoteReference"/>
          <w:rFonts w:ascii="Calibri" w:hAnsi="Calibri" w:cs="Calibri"/>
          <w:iCs/>
          <w:sz w:val="22"/>
          <w:szCs w:val="22"/>
        </w:rPr>
        <w:footnoteReference w:id="1"/>
      </w:r>
      <w:r w:rsidRPr="00D04A08">
        <w:rPr>
          <w:rFonts w:ascii="Calibri" w:hAnsi="Calibri" w:cs="Calibri"/>
          <w:iCs/>
          <w:sz w:val="22"/>
          <w:szCs w:val="22"/>
        </w:rPr>
        <w:t xml:space="preserve">  If the response is “Yes,” the preferred language is identified at A1100B.  Additionally, A1000 of the MDS 3.0 asks the resident or resident representative to identify all applicable races/ethnicities among:</w:t>
      </w:r>
    </w:p>
    <w:p w14:paraId="056CA114" w14:textId="77777777" w:rsidR="00D04A08" w:rsidRPr="00D04A08" w:rsidRDefault="00D04A08" w:rsidP="00D04A08">
      <w:pPr>
        <w:pStyle w:val="NoSpacing"/>
        <w:numPr>
          <w:ilvl w:val="0"/>
          <w:numId w:val="44"/>
        </w:numPr>
        <w:rPr>
          <w:rFonts w:ascii="Calibri" w:hAnsi="Calibri" w:cs="Calibri"/>
          <w:sz w:val="22"/>
          <w:szCs w:val="22"/>
        </w:rPr>
      </w:pPr>
      <w:r w:rsidRPr="00D04A08">
        <w:rPr>
          <w:rFonts w:ascii="Calibri" w:hAnsi="Calibri" w:cs="Calibri"/>
          <w:sz w:val="22"/>
          <w:szCs w:val="22"/>
        </w:rPr>
        <w:t>American Indian or Alaska Native</w:t>
      </w:r>
    </w:p>
    <w:p w14:paraId="336C1E0F" w14:textId="77777777" w:rsidR="00D04A08" w:rsidRPr="00D04A08" w:rsidRDefault="00D04A08" w:rsidP="00D04A08">
      <w:pPr>
        <w:pStyle w:val="NoSpacing"/>
        <w:numPr>
          <w:ilvl w:val="0"/>
          <w:numId w:val="44"/>
        </w:numPr>
        <w:rPr>
          <w:rFonts w:ascii="Calibri" w:hAnsi="Calibri" w:cs="Calibri"/>
          <w:sz w:val="22"/>
          <w:szCs w:val="22"/>
        </w:rPr>
      </w:pPr>
      <w:r w:rsidRPr="00D04A08">
        <w:rPr>
          <w:rFonts w:ascii="Calibri" w:hAnsi="Calibri" w:cs="Calibri"/>
          <w:sz w:val="22"/>
          <w:szCs w:val="22"/>
        </w:rPr>
        <w:t>Asian</w:t>
      </w:r>
    </w:p>
    <w:p w14:paraId="55C9FC37" w14:textId="77777777" w:rsidR="00D04A08" w:rsidRPr="00D04A08" w:rsidRDefault="00D04A08" w:rsidP="00D04A08">
      <w:pPr>
        <w:pStyle w:val="NoSpacing"/>
        <w:numPr>
          <w:ilvl w:val="0"/>
          <w:numId w:val="44"/>
        </w:numPr>
        <w:rPr>
          <w:rFonts w:ascii="Calibri" w:hAnsi="Calibri" w:cs="Calibri"/>
          <w:sz w:val="22"/>
          <w:szCs w:val="22"/>
        </w:rPr>
      </w:pPr>
      <w:r w:rsidRPr="00D04A08">
        <w:rPr>
          <w:rFonts w:ascii="Calibri" w:hAnsi="Calibri" w:cs="Calibri"/>
          <w:sz w:val="22"/>
          <w:szCs w:val="22"/>
        </w:rPr>
        <w:t>Black or African American</w:t>
      </w:r>
    </w:p>
    <w:p w14:paraId="40DDB0DB" w14:textId="77777777" w:rsidR="00D04A08" w:rsidRPr="00D04A08" w:rsidRDefault="00D04A08" w:rsidP="00D04A08">
      <w:pPr>
        <w:pStyle w:val="NoSpacing"/>
        <w:numPr>
          <w:ilvl w:val="0"/>
          <w:numId w:val="44"/>
        </w:numPr>
        <w:rPr>
          <w:rFonts w:ascii="Calibri" w:hAnsi="Calibri" w:cs="Calibri"/>
          <w:sz w:val="22"/>
          <w:szCs w:val="22"/>
        </w:rPr>
      </w:pPr>
      <w:r w:rsidRPr="00D04A08">
        <w:rPr>
          <w:rFonts w:ascii="Calibri" w:hAnsi="Calibri" w:cs="Calibri"/>
          <w:sz w:val="22"/>
          <w:szCs w:val="22"/>
        </w:rPr>
        <w:t>Hispanic or Latino</w:t>
      </w:r>
    </w:p>
    <w:p w14:paraId="13D6AA76" w14:textId="77777777" w:rsidR="00D04A08" w:rsidRPr="00D04A08" w:rsidRDefault="00D04A08" w:rsidP="00D04A08">
      <w:pPr>
        <w:pStyle w:val="NoSpacing"/>
        <w:numPr>
          <w:ilvl w:val="0"/>
          <w:numId w:val="44"/>
        </w:numPr>
        <w:rPr>
          <w:rFonts w:ascii="Calibri" w:hAnsi="Calibri" w:cs="Calibri"/>
          <w:sz w:val="22"/>
          <w:szCs w:val="22"/>
        </w:rPr>
      </w:pPr>
      <w:r w:rsidRPr="00D04A08">
        <w:rPr>
          <w:rFonts w:ascii="Calibri" w:hAnsi="Calibri" w:cs="Calibri"/>
          <w:sz w:val="22"/>
          <w:szCs w:val="22"/>
        </w:rPr>
        <w:t>Native Hawaiian or Other Pacific Islander</w:t>
      </w:r>
    </w:p>
    <w:p w14:paraId="2D562FBC" w14:textId="77777777" w:rsidR="00D04A08" w:rsidRPr="00D04A08" w:rsidRDefault="00D04A08" w:rsidP="00D04A08">
      <w:pPr>
        <w:pStyle w:val="NoSpacing"/>
        <w:numPr>
          <w:ilvl w:val="0"/>
          <w:numId w:val="44"/>
        </w:numPr>
        <w:rPr>
          <w:rFonts w:ascii="Calibri" w:hAnsi="Calibri" w:cs="Calibri"/>
          <w:sz w:val="22"/>
          <w:szCs w:val="22"/>
        </w:rPr>
      </w:pPr>
      <w:r w:rsidRPr="00D04A08">
        <w:rPr>
          <w:rFonts w:ascii="Calibri" w:hAnsi="Calibri" w:cs="Calibri"/>
          <w:sz w:val="22"/>
          <w:szCs w:val="22"/>
        </w:rPr>
        <w:t>White</w:t>
      </w:r>
      <w:r w:rsidRPr="00D04A08">
        <w:rPr>
          <w:rStyle w:val="FootnoteReference"/>
          <w:rFonts w:ascii="Calibri" w:hAnsi="Calibri" w:cs="Calibri"/>
          <w:sz w:val="22"/>
          <w:szCs w:val="22"/>
        </w:rPr>
        <w:footnoteReference w:id="2"/>
      </w:r>
    </w:p>
    <w:p w14:paraId="5E7201FB" w14:textId="77777777" w:rsidR="00D04A08" w:rsidRPr="00D04A08" w:rsidRDefault="00D04A08" w:rsidP="00D04A08">
      <w:pPr>
        <w:pStyle w:val="NoSpacing"/>
        <w:ind w:left="720"/>
        <w:rPr>
          <w:rFonts w:ascii="Calibri" w:hAnsi="Calibri" w:cs="Calibri"/>
          <w:sz w:val="22"/>
          <w:szCs w:val="22"/>
        </w:rPr>
      </w:pPr>
    </w:p>
    <w:p w14:paraId="25028CF6" w14:textId="77777777" w:rsidR="00D04A08" w:rsidRDefault="00D04A08">
      <w:pPr>
        <w:spacing w:after="160" w:line="259" w:lineRule="auto"/>
        <w:rPr>
          <w:rFonts w:ascii="Calibri" w:eastAsiaTheme="minorHAnsi" w:hAnsi="Calibri" w:cs="Calibri"/>
          <w:color w:val="333333"/>
          <w:sz w:val="22"/>
          <w:szCs w:val="22"/>
        </w:rPr>
      </w:pPr>
      <w:r>
        <w:rPr>
          <w:rFonts w:ascii="Calibri" w:hAnsi="Calibri" w:cs="Calibri"/>
          <w:color w:val="333333"/>
          <w:sz w:val="22"/>
          <w:szCs w:val="22"/>
        </w:rPr>
        <w:br w:type="page"/>
      </w:r>
    </w:p>
    <w:p w14:paraId="56C2ED59" w14:textId="2201400A"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r w:rsidRPr="00D04A08">
        <w:rPr>
          <w:rFonts w:ascii="Calibri" w:hAnsi="Calibri" w:cs="Calibri"/>
          <w:color w:val="333333"/>
          <w:sz w:val="22"/>
          <w:szCs w:val="22"/>
        </w:rPr>
        <w:lastRenderedPageBreak/>
        <w:t>Additional food and nutrition cultural information can be obtained from interviews and medical records.</w:t>
      </w:r>
    </w:p>
    <w:p w14:paraId="0F185025" w14:textId="77777777"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r w:rsidRPr="00D04A08">
        <w:rPr>
          <w:rFonts w:ascii="Calibri" w:hAnsi="Calibri" w:cs="Calibri"/>
          <w:color w:val="333333"/>
          <w:sz w:val="22"/>
          <w:szCs w:val="22"/>
        </w:rPr>
        <w:t>Food is an important part of life; and in the multi-cultural United States, there are various religious and cultural practices around food.  Food is used in celebrations and helps to maintain ties with tradition and family.</w:t>
      </w:r>
    </w:p>
    <w:p w14:paraId="3E854E23" w14:textId="77777777" w:rsid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p>
    <w:p w14:paraId="32C742A1" w14:textId="1B137141" w:rsid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r w:rsidRPr="00D04A08">
        <w:rPr>
          <w:rFonts w:ascii="Calibri" w:hAnsi="Calibri" w:cs="Calibri"/>
          <w:color w:val="333333"/>
          <w:sz w:val="22"/>
          <w:szCs w:val="22"/>
        </w:rPr>
        <w:t>Of course, the key driver for eating is hunger; however, what we choose to eat is not determined solely by physiological or nutritional needs.</w:t>
      </w:r>
    </w:p>
    <w:p w14:paraId="53EC8A9A" w14:textId="77777777" w:rsidR="00D04A08" w:rsidRPr="00D04A08" w:rsidRDefault="00D04A08" w:rsidP="00D04A08">
      <w:pPr>
        <w:pStyle w:val="NormalWeb"/>
        <w:shd w:val="clear" w:color="auto" w:fill="FFFFFF"/>
        <w:spacing w:before="0" w:beforeAutospacing="0" w:after="0" w:afterAutospacing="0"/>
        <w:rPr>
          <w:rFonts w:ascii="Calibri" w:hAnsi="Calibri" w:cs="Calibri"/>
          <w:color w:val="333333"/>
          <w:sz w:val="22"/>
          <w:szCs w:val="22"/>
        </w:rPr>
      </w:pPr>
    </w:p>
    <w:p w14:paraId="2153F441" w14:textId="77777777" w:rsidR="00D04A08" w:rsidRPr="00D04A08" w:rsidRDefault="00D04A08" w:rsidP="00D04A08">
      <w:pPr>
        <w:numPr>
          <w:ilvl w:val="0"/>
          <w:numId w:val="43"/>
        </w:numPr>
        <w:shd w:val="clear" w:color="auto" w:fill="FFFFFF"/>
        <w:rPr>
          <w:rFonts w:ascii="Calibri" w:hAnsi="Calibri" w:cs="Calibri"/>
          <w:color w:val="000000"/>
          <w:sz w:val="22"/>
          <w:szCs w:val="22"/>
        </w:rPr>
      </w:pPr>
      <w:r w:rsidRPr="00D04A08">
        <w:rPr>
          <w:rFonts w:ascii="Calibri" w:hAnsi="Calibri" w:cs="Calibri"/>
          <w:color w:val="000000"/>
          <w:sz w:val="22"/>
          <w:szCs w:val="22"/>
        </w:rPr>
        <w:t>Biological determinants such as hunger, appetite, and taste</w:t>
      </w:r>
    </w:p>
    <w:p w14:paraId="2CCE2C51" w14:textId="77777777" w:rsidR="00D04A08" w:rsidRPr="00D04A08" w:rsidRDefault="00D04A08" w:rsidP="00D04A08">
      <w:pPr>
        <w:numPr>
          <w:ilvl w:val="0"/>
          <w:numId w:val="43"/>
        </w:numPr>
        <w:shd w:val="clear" w:color="auto" w:fill="FFFFFF"/>
        <w:rPr>
          <w:rFonts w:ascii="Calibri" w:hAnsi="Calibri" w:cs="Calibri"/>
          <w:color w:val="000000"/>
          <w:sz w:val="22"/>
          <w:szCs w:val="22"/>
        </w:rPr>
      </w:pPr>
      <w:r w:rsidRPr="00D04A08">
        <w:rPr>
          <w:rFonts w:ascii="Calibri" w:hAnsi="Calibri" w:cs="Calibri"/>
          <w:color w:val="000000"/>
          <w:sz w:val="22"/>
          <w:szCs w:val="22"/>
        </w:rPr>
        <w:t>Economic determinants such as cost, income, availability</w:t>
      </w:r>
    </w:p>
    <w:p w14:paraId="7C86FCEF" w14:textId="77777777" w:rsidR="00D04A08" w:rsidRPr="00D04A08" w:rsidRDefault="00D04A08" w:rsidP="00D04A08">
      <w:pPr>
        <w:numPr>
          <w:ilvl w:val="0"/>
          <w:numId w:val="43"/>
        </w:numPr>
        <w:shd w:val="clear" w:color="auto" w:fill="FFFFFF"/>
        <w:rPr>
          <w:rFonts w:ascii="Calibri" w:hAnsi="Calibri" w:cs="Calibri"/>
          <w:color w:val="000000"/>
          <w:sz w:val="22"/>
          <w:szCs w:val="22"/>
        </w:rPr>
      </w:pPr>
      <w:r w:rsidRPr="00D04A08">
        <w:rPr>
          <w:rFonts w:ascii="Calibri" w:hAnsi="Calibri" w:cs="Calibri"/>
          <w:color w:val="000000"/>
          <w:sz w:val="22"/>
          <w:szCs w:val="22"/>
        </w:rPr>
        <w:t>Physical determinants such as access, education, skills (</w:t>
      </w:r>
      <w:r w:rsidRPr="00D04A08">
        <w:rPr>
          <w:rFonts w:ascii="Calibri" w:hAnsi="Calibri" w:cs="Calibri"/>
          <w:i/>
          <w:color w:val="000000"/>
          <w:sz w:val="22"/>
          <w:szCs w:val="22"/>
        </w:rPr>
        <w:t>e.g.</w:t>
      </w:r>
      <w:r w:rsidRPr="00D04A08">
        <w:rPr>
          <w:rFonts w:ascii="Calibri" w:hAnsi="Calibri" w:cs="Calibri"/>
          <w:color w:val="000000"/>
          <w:sz w:val="22"/>
          <w:szCs w:val="22"/>
        </w:rPr>
        <w:t xml:space="preserve"> cooking) and time</w:t>
      </w:r>
    </w:p>
    <w:p w14:paraId="61A25109" w14:textId="77777777" w:rsidR="00D04A08" w:rsidRPr="00D04A08" w:rsidRDefault="00D04A08" w:rsidP="00D04A08">
      <w:pPr>
        <w:numPr>
          <w:ilvl w:val="0"/>
          <w:numId w:val="43"/>
        </w:numPr>
        <w:shd w:val="clear" w:color="auto" w:fill="FFFFFF"/>
        <w:rPr>
          <w:rFonts w:ascii="Calibri" w:hAnsi="Calibri" w:cs="Calibri"/>
          <w:color w:val="000000"/>
          <w:sz w:val="22"/>
          <w:szCs w:val="22"/>
        </w:rPr>
      </w:pPr>
      <w:r w:rsidRPr="00D04A08">
        <w:rPr>
          <w:rFonts w:ascii="Calibri" w:hAnsi="Calibri" w:cs="Calibri"/>
          <w:color w:val="000000"/>
          <w:sz w:val="22"/>
          <w:szCs w:val="22"/>
        </w:rPr>
        <w:t>Social determinants such as culture, family, peers, and meal patterns</w:t>
      </w:r>
    </w:p>
    <w:p w14:paraId="2B0BBBFC" w14:textId="77777777" w:rsidR="00D04A08" w:rsidRPr="00D04A08" w:rsidRDefault="00D04A08" w:rsidP="00D04A08">
      <w:pPr>
        <w:numPr>
          <w:ilvl w:val="0"/>
          <w:numId w:val="43"/>
        </w:numPr>
        <w:shd w:val="clear" w:color="auto" w:fill="FFFFFF"/>
        <w:rPr>
          <w:rFonts w:ascii="Calibri" w:hAnsi="Calibri" w:cs="Calibri"/>
          <w:color w:val="000000"/>
          <w:sz w:val="22"/>
          <w:szCs w:val="22"/>
        </w:rPr>
      </w:pPr>
      <w:r w:rsidRPr="00D04A08">
        <w:rPr>
          <w:rFonts w:ascii="Calibri" w:hAnsi="Calibri" w:cs="Calibri"/>
          <w:color w:val="000000"/>
          <w:sz w:val="22"/>
          <w:szCs w:val="22"/>
        </w:rPr>
        <w:t>Psychological determinants such as mood, stress, and guilt</w:t>
      </w:r>
    </w:p>
    <w:p w14:paraId="7C3773BB" w14:textId="77777777" w:rsidR="00D04A08" w:rsidRPr="00D04A08" w:rsidRDefault="00D04A08" w:rsidP="00D04A08">
      <w:pPr>
        <w:numPr>
          <w:ilvl w:val="0"/>
          <w:numId w:val="43"/>
        </w:numPr>
        <w:shd w:val="clear" w:color="auto" w:fill="FFFFFF"/>
        <w:rPr>
          <w:rFonts w:ascii="Calibri" w:hAnsi="Calibri" w:cs="Calibri"/>
          <w:color w:val="000000"/>
          <w:sz w:val="22"/>
          <w:szCs w:val="22"/>
        </w:rPr>
      </w:pPr>
      <w:r w:rsidRPr="00D04A08">
        <w:rPr>
          <w:rFonts w:ascii="Calibri" w:hAnsi="Calibri" w:cs="Calibri"/>
          <w:color w:val="000000"/>
          <w:sz w:val="22"/>
          <w:szCs w:val="22"/>
        </w:rPr>
        <w:t>Attitudes, beliefs and knowledge about food</w:t>
      </w:r>
      <w:r w:rsidRPr="00D04A08">
        <w:rPr>
          <w:rStyle w:val="FootnoteReference"/>
          <w:rFonts w:ascii="Calibri" w:hAnsi="Calibri" w:cs="Calibri"/>
          <w:color w:val="000000"/>
          <w:sz w:val="22"/>
          <w:szCs w:val="22"/>
        </w:rPr>
        <w:footnoteReference w:id="3"/>
      </w:r>
    </w:p>
    <w:p w14:paraId="49B29BAC" w14:textId="77777777" w:rsidR="00D04A08" w:rsidRDefault="00D04A08" w:rsidP="00D04A08">
      <w:pPr>
        <w:shd w:val="clear" w:color="auto" w:fill="FFFFFF"/>
        <w:rPr>
          <w:rFonts w:ascii="Calibri" w:hAnsi="Calibri" w:cs="Calibri"/>
          <w:color w:val="000000"/>
          <w:sz w:val="22"/>
          <w:szCs w:val="22"/>
        </w:rPr>
      </w:pPr>
    </w:p>
    <w:p w14:paraId="765FCE2F" w14:textId="348E146E" w:rsidR="00D04A08" w:rsidRPr="00D04A08" w:rsidRDefault="00D04A08" w:rsidP="00D04A08">
      <w:pPr>
        <w:shd w:val="clear" w:color="auto" w:fill="FFFFFF"/>
        <w:rPr>
          <w:rFonts w:ascii="Calibri" w:hAnsi="Calibri" w:cs="Calibri"/>
          <w:iCs/>
          <w:sz w:val="22"/>
          <w:szCs w:val="22"/>
        </w:rPr>
      </w:pPr>
      <w:r w:rsidRPr="00D04A08">
        <w:rPr>
          <w:rFonts w:ascii="Calibri" w:hAnsi="Calibri" w:cs="Calibri"/>
          <w:color w:val="000000"/>
          <w:sz w:val="22"/>
          <w:szCs w:val="22"/>
        </w:rPr>
        <w:t xml:space="preserve">The intent of the CMS Requirements of Participation at </w:t>
      </w:r>
      <w:r w:rsidRPr="00D04A08">
        <w:rPr>
          <w:rFonts w:ascii="Calibri" w:hAnsi="Calibri" w:cs="Calibri"/>
          <w:bCs/>
          <w:iCs/>
          <w:sz w:val="22"/>
          <w:szCs w:val="22"/>
        </w:rPr>
        <w:t>§483.60 Food and nutrition services (F800) is “to ensure that facility staff support the nutritional well-being of the residents while respecting an individual’s right to make choices about his or her diet.”</w:t>
      </w:r>
      <w:r w:rsidRPr="00D04A08">
        <w:rPr>
          <w:rStyle w:val="FootnoteReference"/>
          <w:rFonts w:ascii="Calibri" w:hAnsi="Calibri" w:cs="Calibri"/>
          <w:bCs/>
          <w:iCs/>
          <w:sz w:val="22"/>
          <w:szCs w:val="22"/>
        </w:rPr>
        <w:footnoteReference w:id="4"/>
      </w:r>
      <w:r w:rsidRPr="00D04A08">
        <w:rPr>
          <w:rFonts w:ascii="Calibri" w:hAnsi="Calibri" w:cs="Calibri"/>
          <w:bCs/>
          <w:iCs/>
          <w:sz w:val="22"/>
          <w:szCs w:val="22"/>
        </w:rPr>
        <w:t xml:space="preserve">  Within the guidance portion of the requirement, emphasis is placed upon </w:t>
      </w:r>
      <w:r w:rsidRPr="00D04A08">
        <w:rPr>
          <w:rFonts w:ascii="Calibri" w:hAnsi="Calibri" w:cs="Calibri"/>
          <w:iCs/>
          <w:sz w:val="22"/>
          <w:szCs w:val="22"/>
        </w:rPr>
        <w:t>ongoing communication and coordination among and between staff within all departments to ensure that the resident assessment, care plan, and actual food and nutrition services meet each resident’s daily nutritional and dietary needs and choices.  Guidance acknowledges meeting both preferences and needs can be challenging; yet it also stresses that reasonable effort to accommodate choices and preferences must be addressed by facility staff.</w:t>
      </w:r>
    </w:p>
    <w:p w14:paraId="146EFF1A" w14:textId="77777777" w:rsidR="00D04A08" w:rsidRDefault="00D04A08" w:rsidP="00D04A08">
      <w:pPr>
        <w:rPr>
          <w:rFonts w:ascii="Calibri" w:hAnsi="Calibri" w:cs="Calibri"/>
          <w:sz w:val="22"/>
          <w:szCs w:val="22"/>
        </w:rPr>
      </w:pPr>
    </w:p>
    <w:p w14:paraId="5475C7A6" w14:textId="640AFBE9" w:rsidR="00D04A08" w:rsidRPr="00D04A08" w:rsidRDefault="00D04A08" w:rsidP="00D04A08">
      <w:pPr>
        <w:rPr>
          <w:rFonts w:ascii="Calibri" w:hAnsi="Calibri" w:cs="Calibri"/>
          <w:sz w:val="22"/>
          <w:szCs w:val="22"/>
        </w:rPr>
      </w:pPr>
      <w:r w:rsidRPr="00D04A08">
        <w:rPr>
          <w:rFonts w:ascii="Calibri" w:hAnsi="Calibri" w:cs="Calibri"/>
          <w:sz w:val="22"/>
          <w:szCs w:val="22"/>
        </w:rPr>
        <w:t xml:space="preserve">There are important potential risks in training about any aspects of culture.  First, training must avoid simplistic generalizations that can lead to stereotyping of individuals from different cultural groups. Any training should emphasize sensitivity to variations within populations.  </w:t>
      </w:r>
    </w:p>
    <w:p w14:paraId="24DA624A" w14:textId="77777777" w:rsidR="00D04A08" w:rsidRDefault="00D04A08" w:rsidP="00D04A08">
      <w:pPr>
        <w:rPr>
          <w:rFonts w:ascii="Calibri" w:hAnsi="Calibri" w:cs="Calibri"/>
          <w:sz w:val="22"/>
          <w:szCs w:val="22"/>
        </w:rPr>
      </w:pPr>
    </w:p>
    <w:p w14:paraId="43C26CA1" w14:textId="77777777" w:rsidR="00D04A08" w:rsidRDefault="00D04A08">
      <w:pPr>
        <w:spacing w:after="160" w:line="259" w:lineRule="auto"/>
        <w:rPr>
          <w:rFonts w:ascii="Calibri" w:hAnsi="Calibri" w:cs="Calibri"/>
          <w:sz w:val="22"/>
          <w:szCs w:val="22"/>
        </w:rPr>
      </w:pPr>
      <w:r>
        <w:rPr>
          <w:rFonts w:ascii="Calibri" w:hAnsi="Calibri" w:cs="Calibri"/>
          <w:sz w:val="22"/>
          <w:szCs w:val="22"/>
        </w:rPr>
        <w:br w:type="page"/>
      </w:r>
    </w:p>
    <w:p w14:paraId="45791EC5" w14:textId="14CE2D6A" w:rsidR="00D04A08" w:rsidRDefault="00D04A08" w:rsidP="00D04A08">
      <w:pPr>
        <w:rPr>
          <w:rFonts w:ascii="Calibri" w:hAnsi="Calibri" w:cs="Calibri"/>
          <w:sz w:val="22"/>
          <w:szCs w:val="22"/>
        </w:rPr>
      </w:pPr>
      <w:r w:rsidRPr="00D04A08">
        <w:rPr>
          <w:rFonts w:ascii="Calibri" w:hAnsi="Calibri" w:cs="Calibri"/>
          <w:sz w:val="22"/>
          <w:szCs w:val="22"/>
        </w:rPr>
        <w:lastRenderedPageBreak/>
        <w:t>Organizational leaders will need to ensure competency of all staff members regarding Food and Nutrition Cultural Competency.  Adequate resources for the program will need to be evaluated using information from the Facility-Wide Resource Assessment including:</w:t>
      </w:r>
    </w:p>
    <w:p w14:paraId="44B0F594" w14:textId="77777777" w:rsidR="00D04A08" w:rsidRPr="00D04A08" w:rsidRDefault="00D04A08" w:rsidP="00D04A08">
      <w:pPr>
        <w:rPr>
          <w:rFonts w:ascii="Calibri" w:hAnsi="Calibri" w:cs="Calibri"/>
          <w:sz w:val="22"/>
          <w:szCs w:val="22"/>
        </w:rPr>
      </w:pPr>
    </w:p>
    <w:p w14:paraId="529E41E2" w14:textId="77777777" w:rsidR="00D04A08" w:rsidRPr="00D04A08" w:rsidRDefault="00D04A08" w:rsidP="00D04A08">
      <w:pPr>
        <w:pStyle w:val="NoSpacing"/>
        <w:numPr>
          <w:ilvl w:val="0"/>
          <w:numId w:val="45"/>
        </w:numPr>
        <w:rPr>
          <w:rFonts w:ascii="Calibri" w:hAnsi="Calibri" w:cs="Calibri"/>
          <w:sz w:val="22"/>
          <w:szCs w:val="22"/>
        </w:rPr>
      </w:pPr>
      <w:r w:rsidRPr="00D04A08">
        <w:rPr>
          <w:rFonts w:ascii="Calibri" w:hAnsi="Calibri" w:cs="Calibri"/>
          <w:sz w:val="22"/>
          <w:szCs w:val="22"/>
        </w:rPr>
        <w:t>Staff Resources</w:t>
      </w:r>
    </w:p>
    <w:p w14:paraId="1C525E89" w14:textId="77777777" w:rsidR="00D04A08" w:rsidRPr="00D04A08" w:rsidRDefault="00D04A08" w:rsidP="00D04A08">
      <w:pPr>
        <w:pStyle w:val="NoSpacing"/>
        <w:numPr>
          <w:ilvl w:val="1"/>
          <w:numId w:val="45"/>
        </w:numPr>
        <w:rPr>
          <w:rFonts w:ascii="Calibri" w:hAnsi="Calibri" w:cs="Calibri"/>
          <w:sz w:val="22"/>
          <w:szCs w:val="22"/>
        </w:rPr>
      </w:pPr>
      <w:r w:rsidRPr="00D04A08">
        <w:rPr>
          <w:rFonts w:ascii="Calibri" w:hAnsi="Calibri" w:cs="Calibri"/>
          <w:sz w:val="22"/>
          <w:szCs w:val="22"/>
        </w:rPr>
        <w:t>Leadership and managerial staff</w:t>
      </w:r>
    </w:p>
    <w:p w14:paraId="1F0162AC" w14:textId="77777777" w:rsidR="00D04A08" w:rsidRPr="00D04A08" w:rsidRDefault="00D04A08" w:rsidP="00D04A08">
      <w:pPr>
        <w:pStyle w:val="NoSpacing"/>
        <w:numPr>
          <w:ilvl w:val="1"/>
          <w:numId w:val="45"/>
        </w:numPr>
        <w:rPr>
          <w:rFonts w:ascii="Calibri" w:hAnsi="Calibri" w:cs="Calibri"/>
          <w:sz w:val="22"/>
          <w:szCs w:val="22"/>
        </w:rPr>
      </w:pPr>
      <w:r w:rsidRPr="00D04A08">
        <w:rPr>
          <w:rFonts w:ascii="Calibri" w:hAnsi="Calibri" w:cs="Calibri"/>
          <w:sz w:val="22"/>
          <w:szCs w:val="22"/>
        </w:rPr>
        <w:t>Registered Dietitian</w:t>
      </w:r>
    </w:p>
    <w:p w14:paraId="13331D1B" w14:textId="77777777" w:rsidR="00D04A08" w:rsidRPr="00D04A08" w:rsidRDefault="00D04A08" w:rsidP="00D04A08">
      <w:pPr>
        <w:pStyle w:val="NoSpacing"/>
        <w:numPr>
          <w:ilvl w:val="1"/>
          <w:numId w:val="45"/>
        </w:numPr>
        <w:rPr>
          <w:rFonts w:ascii="Calibri" w:hAnsi="Calibri" w:cs="Calibri"/>
          <w:sz w:val="22"/>
          <w:szCs w:val="22"/>
        </w:rPr>
      </w:pPr>
      <w:r w:rsidRPr="00D04A08">
        <w:rPr>
          <w:rFonts w:ascii="Calibri" w:hAnsi="Calibri" w:cs="Calibri"/>
          <w:sz w:val="22"/>
          <w:szCs w:val="22"/>
        </w:rPr>
        <w:t>Direct caregivers – licensed nurses, CNAs, activities staff</w:t>
      </w:r>
    </w:p>
    <w:p w14:paraId="2AF04643" w14:textId="77777777" w:rsidR="00D04A08" w:rsidRPr="00D04A08" w:rsidRDefault="00D04A08" w:rsidP="00D04A08">
      <w:pPr>
        <w:pStyle w:val="NoSpacing"/>
        <w:numPr>
          <w:ilvl w:val="1"/>
          <w:numId w:val="45"/>
        </w:numPr>
        <w:rPr>
          <w:rFonts w:ascii="Calibri" w:hAnsi="Calibri" w:cs="Calibri"/>
          <w:sz w:val="22"/>
          <w:szCs w:val="22"/>
        </w:rPr>
      </w:pPr>
      <w:r w:rsidRPr="00D04A08">
        <w:rPr>
          <w:rFonts w:ascii="Calibri" w:hAnsi="Calibri" w:cs="Calibri"/>
          <w:sz w:val="22"/>
          <w:szCs w:val="22"/>
        </w:rPr>
        <w:t>Dietary support staff</w:t>
      </w:r>
    </w:p>
    <w:p w14:paraId="5EC44DAE" w14:textId="77777777" w:rsidR="00D04A08" w:rsidRPr="00D04A08" w:rsidRDefault="00D04A08" w:rsidP="00D04A08">
      <w:pPr>
        <w:pStyle w:val="NoSpacing"/>
        <w:numPr>
          <w:ilvl w:val="1"/>
          <w:numId w:val="45"/>
        </w:numPr>
        <w:rPr>
          <w:rFonts w:ascii="Calibri" w:hAnsi="Calibri" w:cs="Calibri"/>
          <w:sz w:val="22"/>
          <w:szCs w:val="22"/>
        </w:rPr>
      </w:pPr>
      <w:r w:rsidRPr="00D04A08">
        <w:rPr>
          <w:rFonts w:ascii="Calibri" w:hAnsi="Calibri" w:cs="Calibri"/>
          <w:sz w:val="22"/>
          <w:szCs w:val="22"/>
        </w:rPr>
        <w:t>Human Resources</w:t>
      </w:r>
    </w:p>
    <w:p w14:paraId="2BE50825" w14:textId="77777777" w:rsidR="00D04A08" w:rsidRPr="00D04A08" w:rsidRDefault="00D04A08" w:rsidP="00D04A08">
      <w:pPr>
        <w:pStyle w:val="ListParagraph"/>
        <w:numPr>
          <w:ilvl w:val="0"/>
          <w:numId w:val="45"/>
        </w:numPr>
        <w:contextualSpacing/>
        <w:rPr>
          <w:rFonts w:ascii="Calibri" w:hAnsi="Calibri" w:cs="Calibri"/>
          <w:sz w:val="22"/>
          <w:szCs w:val="22"/>
        </w:rPr>
      </w:pPr>
      <w:r w:rsidRPr="00D04A08">
        <w:rPr>
          <w:rFonts w:ascii="Calibri" w:hAnsi="Calibri" w:cs="Calibri"/>
          <w:sz w:val="22"/>
          <w:szCs w:val="22"/>
        </w:rPr>
        <w:t>Documentation Considerations</w:t>
      </w:r>
    </w:p>
    <w:p w14:paraId="0C76378E"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 xml:space="preserve">Paper </w:t>
      </w:r>
      <w:r w:rsidRPr="00D04A08">
        <w:rPr>
          <w:rFonts w:ascii="Calibri" w:hAnsi="Calibri" w:cs="Calibri"/>
          <w:i/>
          <w:sz w:val="22"/>
          <w:szCs w:val="22"/>
        </w:rPr>
        <w:t xml:space="preserve">vs. </w:t>
      </w:r>
      <w:r w:rsidRPr="00D04A08">
        <w:rPr>
          <w:rFonts w:ascii="Calibri" w:hAnsi="Calibri" w:cs="Calibri"/>
          <w:sz w:val="22"/>
          <w:szCs w:val="22"/>
        </w:rPr>
        <w:t>Electronic</w:t>
      </w:r>
    </w:p>
    <w:p w14:paraId="2E3DFA56"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Assessment/Evaluation forms</w:t>
      </w:r>
    </w:p>
    <w:p w14:paraId="1AB96E1E"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Care planning</w:t>
      </w:r>
    </w:p>
    <w:p w14:paraId="56C22334" w14:textId="77777777" w:rsidR="00D04A08" w:rsidRPr="00D04A08" w:rsidRDefault="00D04A08" w:rsidP="00D04A08">
      <w:pPr>
        <w:pStyle w:val="ListParagraph"/>
        <w:numPr>
          <w:ilvl w:val="0"/>
          <w:numId w:val="45"/>
        </w:numPr>
        <w:contextualSpacing/>
        <w:rPr>
          <w:rFonts w:ascii="Calibri" w:hAnsi="Calibri" w:cs="Calibri"/>
          <w:sz w:val="22"/>
          <w:szCs w:val="22"/>
        </w:rPr>
      </w:pPr>
      <w:r w:rsidRPr="00D04A08">
        <w:rPr>
          <w:rFonts w:ascii="Calibri" w:hAnsi="Calibri" w:cs="Calibri"/>
          <w:sz w:val="22"/>
          <w:szCs w:val="22"/>
        </w:rPr>
        <w:t>Education</w:t>
      </w:r>
    </w:p>
    <w:p w14:paraId="70CD6578"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Cultural and religious backgrounds of residents and staff</w:t>
      </w:r>
    </w:p>
    <w:p w14:paraId="12BA95CC"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 xml:space="preserve">Food preparation techniques </w:t>
      </w:r>
    </w:p>
    <w:p w14:paraId="1B11677D"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Communication</w:t>
      </w:r>
    </w:p>
    <w:p w14:paraId="05BBD89E"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Residents Rights</w:t>
      </w:r>
    </w:p>
    <w:p w14:paraId="1271CD57"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 xml:space="preserve">Resources </w:t>
      </w:r>
    </w:p>
    <w:p w14:paraId="32DF2EF7" w14:textId="77777777" w:rsidR="00D04A08" w:rsidRPr="00D04A08" w:rsidRDefault="00D04A08" w:rsidP="00D04A08">
      <w:pPr>
        <w:pStyle w:val="ListParagraph"/>
        <w:numPr>
          <w:ilvl w:val="0"/>
          <w:numId w:val="45"/>
        </w:numPr>
        <w:contextualSpacing/>
        <w:rPr>
          <w:rFonts w:ascii="Calibri" w:hAnsi="Calibri" w:cs="Calibri"/>
          <w:sz w:val="22"/>
          <w:szCs w:val="22"/>
        </w:rPr>
      </w:pPr>
      <w:r w:rsidRPr="00D04A08">
        <w:rPr>
          <w:rFonts w:ascii="Calibri" w:hAnsi="Calibri" w:cs="Calibri"/>
          <w:sz w:val="22"/>
          <w:szCs w:val="22"/>
        </w:rPr>
        <w:t>Evaluation and Monitoring</w:t>
      </w:r>
    </w:p>
    <w:p w14:paraId="37198196"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Observations, Interviews, and Record Reviews</w:t>
      </w:r>
    </w:p>
    <w:p w14:paraId="688D38BF"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 xml:space="preserve">QAPI </w:t>
      </w:r>
    </w:p>
    <w:p w14:paraId="0CC6EEC0" w14:textId="77777777" w:rsidR="00D04A08" w:rsidRPr="00D04A08" w:rsidRDefault="00D04A08" w:rsidP="00D04A08">
      <w:pPr>
        <w:pStyle w:val="ListParagraph"/>
        <w:numPr>
          <w:ilvl w:val="0"/>
          <w:numId w:val="45"/>
        </w:numPr>
        <w:contextualSpacing/>
        <w:rPr>
          <w:rFonts w:ascii="Calibri" w:hAnsi="Calibri" w:cs="Calibri"/>
          <w:sz w:val="22"/>
          <w:szCs w:val="22"/>
        </w:rPr>
      </w:pPr>
      <w:r w:rsidRPr="00D04A08">
        <w:rPr>
          <w:rFonts w:ascii="Calibri" w:hAnsi="Calibri" w:cs="Calibri"/>
          <w:sz w:val="22"/>
          <w:szCs w:val="22"/>
        </w:rPr>
        <w:t xml:space="preserve">Supplies and Equipment, </w:t>
      </w:r>
      <w:r w:rsidRPr="00D04A08">
        <w:rPr>
          <w:rFonts w:ascii="Calibri" w:hAnsi="Calibri" w:cs="Calibri"/>
          <w:i/>
          <w:sz w:val="22"/>
          <w:szCs w:val="22"/>
        </w:rPr>
        <w:t>Etc.</w:t>
      </w:r>
    </w:p>
    <w:p w14:paraId="46C1FCCA"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Kitchens – preparation and serving</w:t>
      </w:r>
    </w:p>
    <w:p w14:paraId="1B0B9E56"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 xml:space="preserve">Cooking and serving equipment </w:t>
      </w:r>
    </w:p>
    <w:p w14:paraId="27C611A0"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Food vendors</w:t>
      </w:r>
    </w:p>
    <w:p w14:paraId="749EEC6E"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Policies related to family/friends supplying food and in-room food storage</w:t>
      </w:r>
    </w:p>
    <w:p w14:paraId="0FE138D7" w14:textId="77777777" w:rsidR="00D04A08" w:rsidRPr="00D04A08" w:rsidRDefault="00D04A08" w:rsidP="00D04A08">
      <w:pPr>
        <w:pStyle w:val="ListParagraph"/>
        <w:numPr>
          <w:ilvl w:val="1"/>
          <w:numId w:val="45"/>
        </w:numPr>
        <w:contextualSpacing/>
        <w:rPr>
          <w:rFonts w:ascii="Calibri" w:hAnsi="Calibri" w:cs="Calibri"/>
          <w:sz w:val="22"/>
          <w:szCs w:val="22"/>
        </w:rPr>
      </w:pPr>
      <w:r w:rsidRPr="00D04A08">
        <w:rPr>
          <w:rFonts w:ascii="Calibri" w:hAnsi="Calibri" w:cs="Calibri"/>
          <w:sz w:val="22"/>
          <w:szCs w:val="22"/>
        </w:rPr>
        <w:t>Translation services, software</w:t>
      </w:r>
    </w:p>
    <w:p w14:paraId="4E4E53C4" w14:textId="77777777" w:rsidR="00D04A08" w:rsidRPr="00D04A08" w:rsidRDefault="00D04A08" w:rsidP="00D04A08">
      <w:pPr>
        <w:rPr>
          <w:rFonts w:ascii="Calibri" w:hAnsi="Calibri" w:cs="Calibri"/>
          <w:b/>
          <w:sz w:val="22"/>
          <w:szCs w:val="22"/>
        </w:rPr>
      </w:pPr>
    </w:p>
    <w:p w14:paraId="29B8D6E8" w14:textId="77777777" w:rsidR="00D04A08" w:rsidRDefault="00D04A08">
      <w:pPr>
        <w:spacing w:after="160" w:line="259" w:lineRule="auto"/>
        <w:rPr>
          <w:rFonts w:ascii="Calibri" w:hAnsi="Calibri" w:cs="Calibri"/>
          <w:b/>
          <w:sz w:val="22"/>
          <w:szCs w:val="22"/>
        </w:rPr>
      </w:pPr>
      <w:r>
        <w:rPr>
          <w:rFonts w:ascii="Calibri" w:hAnsi="Calibri" w:cs="Calibri"/>
          <w:b/>
          <w:sz w:val="22"/>
          <w:szCs w:val="22"/>
        </w:rPr>
        <w:br w:type="page"/>
      </w:r>
    </w:p>
    <w:p w14:paraId="2DF060DE" w14:textId="5446585D" w:rsidR="00D04A08" w:rsidRDefault="00D04A08" w:rsidP="00D04A08">
      <w:pPr>
        <w:rPr>
          <w:rFonts w:ascii="Calibri" w:hAnsi="Calibri" w:cs="Calibri"/>
          <w:b/>
          <w:sz w:val="22"/>
          <w:szCs w:val="22"/>
        </w:rPr>
      </w:pPr>
      <w:r w:rsidRPr="00D04A08">
        <w:rPr>
          <w:rFonts w:ascii="Calibri" w:hAnsi="Calibri" w:cs="Calibri"/>
          <w:b/>
          <w:sz w:val="22"/>
          <w:szCs w:val="22"/>
        </w:rPr>
        <w:lastRenderedPageBreak/>
        <w:t>References and Resources</w:t>
      </w:r>
    </w:p>
    <w:p w14:paraId="0768A31E" w14:textId="77777777" w:rsidR="00D04A08" w:rsidRPr="00D04A08" w:rsidRDefault="00D04A08" w:rsidP="00D04A08">
      <w:pPr>
        <w:rPr>
          <w:rFonts w:ascii="Calibri" w:hAnsi="Calibri" w:cs="Calibri"/>
          <w:b/>
          <w:sz w:val="22"/>
          <w:szCs w:val="22"/>
        </w:rPr>
      </w:pPr>
    </w:p>
    <w:p w14:paraId="79C0F63E" w14:textId="77777777" w:rsidR="00D04A08" w:rsidRPr="00D04A08" w:rsidRDefault="00D04A08" w:rsidP="00D04A08">
      <w:pPr>
        <w:pStyle w:val="Footer"/>
        <w:rPr>
          <w:rStyle w:val="Hyperlink"/>
          <w:rFonts w:ascii="Calibri" w:hAnsi="Calibri" w:cs="Calibri"/>
          <w:sz w:val="22"/>
          <w:szCs w:val="22"/>
        </w:rPr>
      </w:pPr>
      <w:r w:rsidRPr="00D04A08">
        <w:rPr>
          <w:rFonts w:ascii="Calibri" w:hAnsi="Calibri" w:cs="Calibri"/>
          <w:sz w:val="22"/>
          <w:szCs w:val="22"/>
        </w:rPr>
        <w:t xml:space="preserve">Centers for Medicare &amp; Medicaid Services Long-Term Care Facility Resident Assessment Instrument 3.0 User’s Manual, Version 1.16.  October 2018:  </w:t>
      </w:r>
      <w:hyperlink r:id="rId8" w:history="1">
        <w:r w:rsidRPr="00D04A08">
          <w:rPr>
            <w:rStyle w:val="Hyperlink"/>
            <w:rFonts w:ascii="Calibri" w:hAnsi="Calibri" w:cs="Calibri"/>
            <w:sz w:val="22"/>
            <w:szCs w:val="22"/>
          </w:rPr>
          <w:t>https://www.cms.gov/Medicare/Quality-Initiatives-Patient-Assessment-Instruments/NursingHomeQualityInits/MDS30RAIManual.html</w:t>
        </w:r>
      </w:hyperlink>
    </w:p>
    <w:p w14:paraId="7AB3A14E" w14:textId="77777777" w:rsidR="00D04A08" w:rsidRPr="00D04A08" w:rsidRDefault="00D04A08" w:rsidP="00D04A08">
      <w:pPr>
        <w:shd w:val="clear" w:color="auto" w:fill="FFFFFF"/>
        <w:ind w:left="720"/>
        <w:outlineLvl w:val="3"/>
        <w:rPr>
          <w:rFonts w:ascii="Calibri" w:hAnsi="Calibri" w:cs="Calibri"/>
          <w:color w:val="333333"/>
          <w:sz w:val="22"/>
          <w:szCs w:val="22"/>
          <w:vertAlign w:val="superscript"/>
        </w:rPr>
      </w:pPr>
    </w:p>
    <w:p w14:paraId="5840260B" w14:textId="77777777" w:rsidR="00D04A08" w:rsidRPr="00D04A08" w:rsidRDefault="00D04A08" w:rsidP="00D04A08">
      <w:pPr>
        <w:shd w:val="clear" w:color="auto" w:fill="FFFFFF"/>
        <w:outlineLvl w:val="3"/>
        <w:rPr>
          <w:rFonts w:ascii="Calibri" w:hAnsi="Calibri" w:cs="Calibri"/>
          <w:color w:val="333333"/>
          <w:sz w:val="22"/>
          <w:szCs w:val="22"/>
        </w:rPr>
      </w:pPr>
      <w:r w:rsidRPr="00D04A08">
        <w:rPr>
          <w:rFonts w:ascii="Calibri" w:hAnsi="Calibri" w:cs="Calibri"/>
          <w:color w:val="333333"/>
          <w:sz w:val="22"/>
          <w:szCs w:val="22"/>
        </w:rPr>
        <w:t>The European Food Information Council</w:t>
      </w:r>
    </w:p>
    <w:p w14:paraId="300065D0" w14:textId="77777777" w:rsidR="00D04A08" w:rsidRPr="00D04A08" w:rsidRDefault="00D04A08" w:rsidP="00D04A08">
      <w:pPr>
        <w:shd w:val="clear" w:color="auto" w:fill="FFFFFF"/>
        <w:outlineLvl w:val="3"/>
        <w:rPr>
          <w:rFonts w:ascii="Calibri" w:hAnsi="Calibri" w:cs="Calibri"/>
          <w:color w:val="333333"/>
          <w:sz w:val="22"/>
          <w:szCs w:val="22"/>
        </w:rPr>
      </w:pPr>
      <w:r w:rsidRPr="00D04A08">
        <w:rPr>
          <w:rFonts w:ascii="Calibri" w:hAnsi="Calibri" w:cs="Calibri"/>
          <w:color w:val="333333"/>
          <w:sz w:val="22"/>
          <w:szCs w:val="22"/>
        </w:rPr>
        <w:t>“The determinants of food choice”</w:t>
      </w:r>
    </w:p>
    <w:p w14:paraId="1A4EB308" w14:textId="77777777" w:rsidR="00D04A08" w:rsidRPr="00D04A08" w:rsidRDefault="004D3DA3" w:rsidP="00D04A08">
      <w:pPr>
        <w:shd w:val="clear" w:color="auto" w:fill="FFFFFF"/>
        <w:outlineLvl w:val="3"/>
        <w:rPr>
          <w:rFonts w:ascii="Calibri" w:hAnsi="Calibri" w:cs="Calibri"/>
          <w:color w:val="333333"/>
          <w:sz w:val="22"/>
          <w:szCs w:val="22"/>
        </w:rPr>
      </w:pPr>
      <w:hyperlink r:id="rId9" w:history="1">
        <w:r w:rsidR="00D04A08" w:rsidRPr="00D04A08">
          <w:rPr>
            <w:rStyle w:val="Hyperlink"/>
            <w:rFonts w:ascii="Calibri" w:hAnsi="Calibri" w:cs="Calibri"/>
            <w:sz w:val="22"/>
            <w:szCs w:val="22"/>
          </w:rPr>
          <w:t>https://www.eufic.org/en/healthy-living/article/the-determinants-of-food-choice</w:t>
        </w:r>
      </w:hyperlink>
    </w:p>
    <w:p w14:paraId="583704E9" w14:textId="77777777" w:rsidR="00D04A08" w:rsidRPr="00D04A08" w:rsidRDefault="00D04A08" w:rsidP="00D04A08">
      <w:pPr>
        <w:shd w:val="clear" w:color="auto" w:fill="FFFFFF"/>
        <w:outlineLvl w:val="3"/>
        <w:rPr>
          <w:rFonts w:ascii="Calibri" w:hAnsi="Calibri" w:cs="Calibri"/>
          <w:color w:val="333333"/>
          <w:sz w:val="22"/>
          <w:szCs w:val="22"/>
        </w:rPr>
      </w:pPr>
    </w:p>
    <w:p w14:paraId="51C431AA" w14:textId="77777777" w:rsidR="00D04A08" w:rsidRPr="00D04A08" w:rsidRDefault="00D04A08" w:rsidP="00D04A08">
      <w:pPr>
        <w:pStyle w:val="Footer"/>
        <w:rPr>
          <w:rStyle w:val="Hyperlink"/>
          <w:rFonts w:ascii="Calibri" w:hAnsi="Calibri" w:cs="Calibri"/>
          <w:sz w:val="22"/>
          <w:szCs w:val="22"/>
        </w:rPr>
      </w:pPr>
      <w:bookmarkStart w:id="0" w:name="_Hlk2927784"/>
      <w:r w:rsidRPr="00D04A08">
        <w:rPr>
          <w:rFonts w:ascii="Calibri" w:hAnsi="Calibri" w:cs="Calibri"/>
          <w:sz w:val="22"/>
          <w:szCs w:val="22"/>
        </w:rPr>
        <w:t xml:space="preserve">Centers for Medicare &amp; Medicaid Services State Operations Manual, Appendix PP – Guidance to Surveyors for Long Term Care Facilities (Rev. 173, 11-22-17):  </w:t>
      </w:r>
      <w:hyperlink r:id="rId10" w:history="1">
        <w:r w:rsidRPr="00D04A08">
          <w:rPr>
            <w:rStyle w:val="Hyperlink"/>
            <w:rFonts w:ascii="Calibri" w:hAnsi="Calibri" w:cs="Calibri"/>
            <w:sz w:val="22"/>
            <w:szCs w:val="22"/>
          </w:rPr>
          <w:t>https://www.cms.gov/Regulations-and-Guidance/Guidance/Manuals/downloads/som107ap_pp_guidelines_ltcf.pdf</w:t>
        </w:r>
      </w:hyperlink>
      <w:bookmarkEnd w:id="0"/>
    </w:p>
    <w:p w14:paraId="6EB22A7C" w14:textId="77777777" w:rsidR="00D04A08" w:rsidRPr="00D04A08" w:rsidRDefault="00D04A08" w:rsidP="00D04A08">
      <w:pPr>
        <w:shd w:val="clear" w:color="auto" w:fill="FFFFFF"/>
        <w:outlineLvl w:val="3"/>
        <w:rPr>
          <w:rFonts w:ascii="Calibri" w:hAnsi="Calibri" w:cs="Calibri"/>
          <w:color w:val="333333"/>
          <w:sz w:val="22"/>
          <w:szCs w:val="22"/>
        </w:rPr>
      </w:pPr>
    </w:p>
    <w:p w14:paraId="4414CE2F" w14:textId="15100336" w:rsidR="00D04A08" w:rsidRPr="00D04A08" w:rsidRDefault="00D04A08" w:rsidP="00D04A08">
      <w:pPr>
        <w:shd w:val="clear" w:color="auto" w:fill="FFFFFF"/>
        <w:outlineLvl w:val="3"/>
        <w:rPr>
          <w:rFonts w:ascii="Calibri" w:hAnsi="Calibri" w:cs="Calibri"/>
          <w:color w:val="333333"/>
          <w:sz w:val="22"/>
          <w:szCs w:val="22"/>
        </w:rPr>
      </w:pPr>
      <w:r w:rsidRPr="00D04A08">
        <w:rPr>
          <w:rFonts w:ascii="Calibri" w:hAnsi="Calibri" w:cs="Calibri"/>
          <w:color w:val="333333"/>
          <w:sz w:val="22"/>
          <w:szCs w:val="22"/>
        </w:rPr>
        <w:t xml:space="preserve">Position of the Academy of Nutrition and Dietetics: Individualized Nutrition Approaches for Older Adults: Long-Term Care, Post-Acute Care, and </w:t>
      </w:r>
      <w:proofErr w:type="gramStart"/>
      <w:r w:rsidRPr="00D04A08">
        <w:rPr>
          <w:rFonts w:ascii="Calibri" w:hAnsi="Calibri" w:cs="Calibri"/>
          <w:color w:val="333333"/>
          <w:sz w:val="22"/>
          <w:szCs w:val="22"/>
        </w:rPr>
        <w:t>Other</w:t>
      </w:r>
      <w:proofErr w:type="gramEnd"/>
      <w:r w:rsidRPr="00D04A08">
        <w:rPr>
          <w:rFonts w:ascii="Calibri" w:hAnsi="Calibri" w:cs="Calibri"/>
          <w:color w:val="333333"/>
          <w:sz w:val="22"/>
          <w:szCs w:val="22"/>
        </w:rPr>
        <w:t xml:space="preserve"> </w:t>
      </w:r>
      <w:r w:rsidR="00D8400B" w:rsidRPr="00D04A08">
        <w:rPr>
          <w:rFonts w:ascii="Calibri" w:hAnsi="Calibri" w:cs="Calibri"/>
          <w:color w:val="333333"/>
          <w:sz w:val="22"/>
          <w:szCs w:val="22"/>
        </w:rPr>
        <w:t>Settings Dorner</w:t>
      </w:r>
      <w:r w:rsidRPr="00D04A08">
        <w:rPr>
          <w:rFonts w:ascii="Calibri" w:hAnsi="Calibri" w:cs="Calibri"/>
          <w:color w:val="333333"/>
          <w:sz w:val="22"/>
          <w:szCs w:val="22"/>
        </w:rPr>
        <w:t>, Becky et al.  Journal of the Academy of Nutrition and Dietetics, Volume 118, Issue 4, 724 - 735</w:t>
      </w:r>
    </w:p>
    <w:p w14:paraId="6D36B3B8" w14:textId="77777777" w:rsidR="00D04A08" w:rsidRPr="00D04A08" w:rsidRDefault="00D04A08" w:rsidP="00D04A08">
      <w:pPr>
        <w:pStyle w:val="Heading4"/>
        <w:shd w:val="clear" w:color="auto" w:fill="FFFFFF"/>
        <w:spacing w:before="0" w:beforeAutospacing="0" w:after="0" w:afterAutospacing="0"/>
        <w:rPr>
          <w:rFonts w:ascii="Calibri" w:hAnsi="Calibri" w:cs="Calibri"/>
          <w:b w:val="0"/>
          <w:bCs w:val="0"/>
          <w:color w:val="333333"/>
          <w:sz w:val="22"/>
          <w:szCs w:val="22"/>
        </w:rPr>
      </w:pPr>
    </w:p>
    <w:p w14:paraId="66998118" w14:textId="78542EFA" w:rsidR="00D04A08" w:rsidRPr="00D04A08" w:rsidRDefault="00D04A08" w:rsidP="00D04A08">
      <w:pPr>
        <w:pStyle w:val="Heading4"/>
        <w:shd w:val="clear" w:color="auto" w:fill="FFFFFF"/>
        <w:spacing w:before="0" w:beforeAutospacing="0" w:after="0" w:afterAutospacing="0"/>
        <w:rPr>
          <w:rFonts w:ascii="Calibri" w:hAnsi="Calibri" w:cs="Calibri"/>
          <w:b w:val="0"/>
          <w:color w:val="333333"/>
          <w:sz w:val="22"/>
          <w:szCs w:val="22"/>
        </w:rPr>
      </w:pPr>
      <w:r w:rsidRPr="00D04A08">
        <w:rPr>
          <w:rFonts w:ascii="Calibri" w:hAnsi="Calibri" w:cs="Calibri"/>
          <w:b w:val="0"/>
          <w:bCs w:val="0"/>
          <w:color w:val="333333"/>
          <w:sz w:val="22"/>
          <w:szCs w:val="22"/>
        </w:rPr>
        <w:t xml:space="preserve">Academy of Nutrition and Dietetics: Revised 2018 Standards of Practice and Standards of Professional </w:t>
      </w:r>
      <w:bookmarkStart w:id="1" w:name="_GoBack"/>
      <w:bookmarkEnd w:id="1"/>
      <w:r w:rsidRPr="00D04A08">
        <w:rPr>
          <w:rFonts w:ascii="Calibri" w:hAnsi="Calibri" w:cs="Calibri"/>
          <w:b w:val="0"/>
          <w:bCs w:val="0"/>
          <w:color w:val="333333"/>
          <w:sz w:val="22"/>
          <w:szCs w:val="22"/>
        </w:rPr>
        <w:t xml:space="preserve">Performance for Registered Dietitian Nutritionists (Competent, Proficient, and Expert) in Post-Acute and Long-Term Care </w:t>
      </w:r>
      <w:r w:rsidR="00D8400B" w:rsidRPr="00D04A08">
        <w:rPr>
          <w:rFonts w:ascii="Calibri" w:hAnsi="Calibri" w:cs="Calibri"/>
          <w:b w:val="0"/>
          <w:bCs w:val="0"/>
          <w:color w:val="333333"/>
          <w:sz w:val="22"/>
          <w:szCs w:val="22"/>
        </w:rPr>
        <w:t>Nutrition Robinson</w:t>
      </w:r>
      <w:r w:rsidRPr="00D04A08">
        <w:rPr>
          <w:rFonts w:ascii="Calibri" w:hAnsi="Calibri" w:cs="Calibri"/>
          <w:b w:val="0"/>
          <w:color w:val="333333"/>
          <w:sz w:val="22"/>
          <w:szCs w:val="22"/>
        </w:rPr>
        <w:t>, Gretchen E. et al.  Journal of the Academy of Nutrition and Dietetics, Volume 118, Issue 9, 1747 - 1760.e53</w:t>
      </w:r>
    </w:p>
    <w:p w14:paraId="29FA5B40" w14:textId="77777777" w:rsidR="00D04A08" w:rsidRPr="00D04A08" w:rsidRDefault="00D04A08" w:rsidP="00D04A08">
      <w:pPr>
        <w:shd w:val="clear" w:color="auto" w:fill="FFFFFF"/>
        <w:ind w:firstLine="720"/>
        <w:rPr>
          <w:rFonts w:ascii="Calibri" w:hAnsi="Calibri" w:cs="Calibri"/>
          <w:color w:val="333333"/>
          <w:sz w:val="22"/>
          <w:szCs w:val="22"/>
        </w:rPr>
      </w:pPr>
    </w:p>
    <w:p w14:paraId="048B5E73" w14:textId="6D80B692" w:rsidR="00D04A08" w:rsidRPr="00D04A08" w:rsidRDefault="00D8400B" w:rsidP="00D04A08">
      <w:pPr>
        <w:pStyle w:val="Footer"/>
        <w:rPr>
          <w:rStyle w:val="Hyperlink"/>
          <w:rFonts w:ascii="Calibri" w:hAnsi="Calibri" w:cs="Calibri"/>
          <w:sz w:val="22"/>
          <w:szCs w:val="22"/>
        </w:rPr>
      </w:pPr>
      <w:r w:rsidRPr="00D04A08">
        <w:rPr>
          <w:rStyle w:val="Hyperlink"/>
          <w:rFonts w:ascii="Calibri" w:hAnsi="Calibri" w:cs="Calibri"/>
          <w:sz w:val="22"/>
          <w:szCs w:val="22"/>
          <w:vertAlign w:val="superscript"/>
        </w:rPr>
        <w:t>”</w:t>
      </w:r>
      <w:r w:rsidRPr="00D04A08">
        <w:rPr>
          <w:rStyle w:val="Hyperlink"/>
          <w:rFonts w:ascii="Calibri" w:hAnsi="Calibri" w:cs="Calibri"/>
          <w:sz w:val="22"/>
          <w:szCs w:val="22"/>
        </w:rPr>
        <w:t xml:space="preserve"> National</w:t>
      </w:r>
      <w:r w:rsidR="00D04A08" w:rsidRPr="00D04A08">
        <w:rPr>
          <w:rStyle w:val="Hyperlink"/>
          <w:rFonts w:ascii="Calibri" w:hAnsi="Calibri" w:cs="Calibri"/>
          <w:sz w:val="22"/>
          <w:szCs w:val="22"/>
        </w:rPr>
        <w:t xml:space="preserve"> Standards for Culturally and Linguistically Appropriate Services in Health and Health Care:  A Blueprint for Advancing and Sustaining CLAS Policy and Practice” Office of Minority Health, U.S. Department of Health and Human Services, April 2013</w:t>
      </w:r>
    </w:p>
    <w:p w14:paraId="71B31E18" w14:textId="77777777" w:rsidR="00D04A08" w:rsidRPr="00D04A08" w:rsidRDefault="004D3DA3" w:rsidP="00D04A08">
      <w:pPr>
        <w:pStyle w:val="Footer"/>
        <w:rPr>
          <w:rStyle w:val="Hyperlink"/>
          <w:rFonts w:ascii="Calibri" w:hAnsi="Calibri" w:cs="Calibri"/>
          <w:sz w:val="22"/>
          <w:szCs w:val="22"/>
          <w:vertAlign w:val="superscript"/>
        </w:rPr>
      </w:pPr>
      <w:hyperlink r:id="rId11" w:history="1">
        <w:r w:rsidR="00D04A08" w:rsidRPr="00D04A08">
          <w:rPr>
            <w:rStyle w:val="Hyperlink"/>
            <w:rFonts w:ascii="Calibri" w:hAnsi="Calibri" w:cs="Calibri"/>
            <w:sz w:val="22"/>
            <w:szCs w:val="22"/>
          </w:rPr>
          <w:t>https://www.thinkculturalhealth.hhs.gov/pdfs/EnhancedCLASStandardsBlueprint.pdf</w:t>
        </w:r>
      </w:hyperlink>
      <w:r w:rsidR="00D04A08" w:rsidRPr="00D04A08">
        <w:rPr>
          <w:rStyle w:val="Hyperlink"/>
          <w:rFonts w:ascii="Calibri" w:hAnsi="Calibri" w:cs="Calibri"/>
          <w:sz w:val="22"/>
          <w:szCs w:val="22"/>
          <w:vertAlign w:val="superscript"/>
        </w:rPr>
        <w:t xml:space="preserve"> </w:t>
      </w:r>
    </w:p>
    <w:p w14:paraId="7F966105" w14:textId="77777777" w:rsidR="00D04A08" w:rsidRPr="00D04A08" w:rsidRDefault="00D04A08" w:rsidP="00D04A08">
      <w:pPr>
        <w:pStyle w:val="Footer"/>
        <w:rPr>
          <w:rStyle w:val="Hyperlink"/>
          <w:rFonts w:ascii="Calibri" w:hAnsi="Calibri" w:cs="Calibri"/>
          <w:sz w:val="22"/>
          <w:szCs w:val="22"/>
        </w:rPr>
      </w:pPr>
    </w:p>
    <w:p w14:paraId="47150902" w14:textId="77777777" w:rsidR="00D04A08" w:rsidRPr="00D04A08" w:rsidRDefault="00D04A08" w:rsidP="00D04A08">
      <w:pPr>
        <w:pStyle w:val="Footer"/>
        <w:rPr>
          <w:rStyle w:val="Hyperlink"/>
          <w:rFonts w:ascii="Calibri" w:hAnsi="Calibri" w:cs="Calibri"/>
          <w:sz w:val="22"/>
          <w:szCs w:val="22"/>
        </w:rPr>
      </w:pPr>
      <w:bookmarkStart w:id="2" w:name="_Hlk2099012"/>
      <w:r w:rsidRPr="00D04A08">
        <w:rPr>
          <w:rStyle w:val="Hyperlink"/>
          <w:rFonts w:ascii="Calibri" w:hAnsi="Calibri" w:cs="Calibri"/>
          <w:sz w:val="22"/>
          <w:szCs w:val="22"/>
        </w:rPr>
        <w:t>LTC Survey Pathways (Download)</w:t>
      </w:r>
    </w:p>
    <w:p w14:paraId="0D0765E0" w14:textId="77777777" w:rsidR="00D04A08" w:rsidRPr="00D04A08" w:rsidRDefault="004D3DA3" w:rsidP="00D04A08">
      <w:pPr>
        <w:pStyle w:val="Footer"/>
        <w:rPr>
          <w:rStyle w:val="Hyperlink"/>
          <w:rFonts w:ascii="Calibri" w:hAnsi="Calibri" w:cs="Calibri"/>
          <w:sz w:val="22"/>
          <w:szCs w:val="22"/>
        </w:rPr>
      </w:pPr>
      <w:hyperlink r:id="rId12" w:history="1">
        <w:r w:rsidR="00D04A08" w:rsidRPr="00D04A08">
          <w:rPr>
            <w:rStyle w:val="Hyperlink"/>
            <w:rFonts w:ascii="Calibri" w:hAnsi="Calibri" w:cs="Calibri"/>
            <w:sz w:val="22"/>
            <w:szCs w:val="22"/>
          </w:rPr>
          <w:t>https://www.cms.gov/medicare/provider-enrollment-and-certification/guidanceforlawsandregulations/nursing-homes.html</w:t>
        </w:r>
      </w:hyperlink>
    </w:p>
    <w:p w14:paraId="6FDBF52C" w14:textId="77777777" w:rsidR="00D04A08" w:rsidRPr="00D04A08" w:rsidRDefault="00D04A08" w:rsidP="00D04A08">
      <w:pPr>
        <w:pStyle w:val="NoSpacing"/>
        <w:numPr>
          <w:ilvl w:val="0"/>
          <w:numId w:val="42"/>
        </w:numPr>
        <w:rPr>
          <w:rFonts w:ascii="Calibri" w:hAnsi="Calibri" w:cs="Calibri"/>
          <w:sz w:val="22"/>
          <w:szCs w:val="22"/>
        </w:rPr>
      </w:pPr>
      <w:r w:rsidRPr="00D04A08">
        <w:rPr>
          <w:rFonts w:ascii="Calibri" w:hAnsi="Calibri" w:cs="Calibri"/>
          <w:sz w:val="22"/>
          <w:szCs w:val="22"/>
        </w:rPr>
        <w:t>CMS-20053 “Dining Observation”</w:t>
      </w:r>
    </w:p>
    <w:p w14:paraId="64599F07" w14:textId="77777777" w:rsidR="00D04A08" w:rsidRPr="00D04A08" w:rsidRDefault="00D04A08" w:rsidP="00D04A08">
      <w:pPr>
        <w:pStyle w:val="NoSpacing"/>
        <w:numPr>
          <w:ilvl w:val="0"/>
          <w:numId w:val="42"/>
        </w:numPr>
        <w:rPr>
          <w:rFonts w:ascii="Calibri" w:hAnsi="Calibri" w:cs="Calibri"/>
          <w:sz w:val="22"/>
          <w:szCs w:val="22"/>
        </w:rPr>
      </w:pPr>
      <w:r w:rsidRPr="00D04A08">
        <w:rPr>
          <w:rFonts w:ascii="Calibri" w:hAnsi="Calibri" w:cs="Calibri"/>
          <w:sz w:val="22"/>
          <w:szCs w:val="22"/>
        </w:rPr>
        <w:t>CMS-20055 “Kitchen/Food Service Observation”</w:t>
      </w:r>
    </w:p>
    <w:p w14:paraId="5D36CE18" w14:textId="77777777" w:rsidR="00D04A08" w:rsidRPr="00D04A08" w:rsidRDefault="00D04A08" w:rsidP="00D04A08">
      <w:pPr>
        <w:pStyle w:val="NoSpacing"/>
        <w:numPr>
          <w:ilvl w:val="0"/>
          <w:numId w:val="42"/>
        </w:numPr>
        <w:rPr>
          <w:rStyle w:val="Hyperlink"/>
          <w:rFonts w:ascii="Calibri" w:hAnsi="Calibri" w:cs="Calibri"/>
          <w:sz w:val="22"/>
          <w:szCs w:val="22"/>
        </w:rPr>
      </w:pPr>
      <w:r w:rsidRPr="00D04A08">
        <w:rPr>
          <w:rFonts w:ascii="Calibri" w:hAnsi="Calibri" w:cs="Calibri"/>
          <w:sz w:val="22"/>
          <w:szCs w:val="22"/>
        </w:rPr>
        <w:t>CMS-20062 “Sufficient and Competent Nurse Staffing Review”</w:t>
      </w:r>
    </w:p>
    <w:bookmarkEnd w:id="2"/>
    <w:p w14:paraId="1A8D66E8" w14:textId="77777777" w:rsidR="00D04A08" w:rsidRPr="00D04A08" w:rsidRDefault="00D04A08" w:rsidP="00D04A08">
      <w:pPr>
        <w:pStyle w:val="Footer"/>
        <w:ind w:left="720"/>
        <w:rPr>
          <w:rStyle w:val="Hyperlink"/>
          <w:rFonts w:ascii="Calibri" w:hAnsi="Calibri" w:cs="Calibri"/>
          <w:sz w:val="22"/>
          <w:szCs w:val="22"/>
        </w:rPr>
      </w:pPr>
    </w:p>
    <w:p w14:paraId="3DB1933F" w14:textId="77777777" w:rsidR="00D04A08" w:rsidRPr="00D04A08" w:rsidRDefault="00D04A08" w:rsidP="00D04A08">
      <w:pPr>
        <w:pStyle w:val="Footer"/>
        <w:rPr>
          <w:rStyle w:val="Hyperlink"/>
          <w:rFonts w:ascii="Calibri" w:hAnsi="Calibri" w:cs="Calibri"/>
          <w:sz w:val="22"/>
          <w:szCs w:val="22"/>
        </w:rPr>
      </w:pPr>
      <w:r w:rsidRPr="00D04A08">
        <w:rPr>
          <w:rStyle w:val="Hyperlink"/>
          <w:rFonts w:ascii="Calibri" w:hAnsi="Calibri" w:cs="Calibri"/>
          <w:sz w:val="22"/>
          <w:szCs w:val="22"/>
        </w:rPr>
        <w:t xml:space="preserve">The Joint Commission:  </w:t>
      </w:r>
      <w:r w:rsidRPr="00D04A08">
        <w:rPr>
          <w:rStyle w:val="Hyperlink"/>
          <w:rFonts w:ascii="Calibri" w:hAnsi="Calibri" w:cs="Calibri"/>
          <w:i/>
          <w:sz w:val="22"/>
          <w:szCs w:val="22"/>
        </w:rPr>
        <w:t>Advancing Effective Communication, Cultural Competence, and Patient- and Family-Centered Care: A Roadmap for Hospitals</w:t>
      </w:r>
      <w:r w:rsidRPr="00D04A08">
        <w:rPr>
          <w:rStyle w:val="Hyperlink"/>
          <w:rFonts w:ascii="Calibri" w:hAnsi="Calibri" w:cs="Calibri"/>
          <w:sz w:val="22"/>
          <w:szCs w:val="22"/>
        </w:rPr>
        <w:t>. Oakbrook Terrace, IL: The Joint Commission, 2010.</w:t>
      </w:r>
    </w:p>
    <w:p w14:paraId="606A9DDE" w14:textId="77777777" w:rsidR="00D04A08" w:rsidRPr="00D04A08" w:rsidRDefault="004D3DA3" w:rsidP="00D04A08">
      <w:pPr>
        <w:pStyle w:val="Footer"/>
        <w:rPr>
          <w:rStyle w:val="Hyperlink"/>
          <w:rFonts w:ascii="Calibri" w:hAnsi="Calibri" w:cs="Calibri"/>
          <w:sz w:val="22"/>
          <w:szCs w:val="22"/>
        </w:rPr>
      </w:pPr>
      <w:hyperlink r:id="rId13" w:history="1">
        <w:r w:rsidR="00D04A08" w:rsidRPr="00D04A08">
          <w:rPr>
            <w:rStyle w:val="Hyperlink"/>
            <w:rFonts w:ascii="Calibri" w:hAnsi="Calibri" w:cs="Calibri"/>
            <w:sz w:val="22"/>
            <w:szCs w:val="22"/>
          </w:rPr>
          <w:t>https://www.jointcommission.org/assets/1/6/ARoadmapforHospitalsfinalversion727.pdf</w:t>
        </w:r>
      </w:hyperlink>
    </w:p>
    <w:p w14:paraId="75374083" w14:textId="77777777" w:rsidR="00D04A08" w:rsidRPr="00D04A08" w:rsidRDefault="00D04A08" w:rsidP="00D04A08">
      <w:pPr>
        <w:pStyle w:val="Footer"/>
        <w:rPr>
          <w:rStyle w:val="Hyperlink"/>
          <w:rFonts w:ascii="Calibri" w:hAnsi="Calibri" w:cs="Calibri"/>
          <w:sz w:val="22"/>
          <w:szCs w:val="22"/>
        </w:rPr>
      </w:pPr>
    </w:p>
    <w:p w14:paraId="63B2CCE3" w14:textId="77777777" w:rsidR="00D04A08" w:rsidRPr="00D04A08" w:rsidRDefault="00D04A08" w:rsidP="00D04A08">
      <w:pPr>
        <w:pStyle w:val="Footer"/>
        <w:rPr>
          <w:rStyle w:val="Hyperlink"/>
          <w:rFonts w:ascii="Calibri" w:hAnsi="Calibri" w:cs="Calibri"/>
          <w:sz w:val="22"/>
          <w:szCs w:val="22"/>
        </w:rPr>
      </w:pPr>
      <w:r w:rsidRPr="00D04A08">
        <w:rPr>
          <w:rStyle w:val="Hyperlink"/>
          <w:rFonts w:ascii="Calibri" w:hAnsi="Calibri" w:cs="Calibri"/>
          <w:sz w:val="22"/>
          <w:szCs w:val="22"/>
        </w:rPr>
        <w:t>Stanford School of Medicine Ethnogeriatrics</w:t>
      </w:r>
    </w:p>
    <w:p w14:paraId="5D6AFE80" w14:textId="77777777" w:rsidR="00D04A08" w:rsidRPr="00D04A08" w:rsidRDefault="004D3DA3" w:rsidP="00D04A08">
      <w:pPr>
        <w:pStyle w:val="Footer"/>
        <w:rPr>
          <w:rStyle w:val="Hyperlink"/>
          <w:rFonts w:ascii="Calibri" w:hAnsi="Calibri" w:cs="Calibri"/>
          <w:sz w:val="22"/>
          <w:szCs w:val="22"/>
        </w:rPr>
      </w:pPr>
      <w:hyperlink r:id="rId14" w:history="1">
        <w:r w:rsidR="00D04A08" w:rsidRPr="00D04A08">
          <w:rPr>
            <w:rStyle w:val="Hyperlink"/>
            <w:rFonts w:ascii="Calibri" w:hAnsi="Calibri" w:cs="Calibri"/>
            <w:sz w:val="22"/>
            <w:szCs w:val="22"/>
          </w:rPr>
          <w:t>https://geriatrics.stanford.edu/ethnomed.html</w:t>
        </w:r>
      </w:hyperlink>
    </w:p>
    <w:p w14:paraId="6CB24CC3" w14:textId="77777777" w:rsidR="00D04A08" w:rsidRPr="00D04A08" w:rsidRDefault="00D04A08" w:rsidP="00D04A08">
      <w:pPr>
        <w:pStyle w:val="Footer"/>
        <w:rPr>
          <w:rStyle w:val="Hyperlink"/>
          <w:rFonts w:ascii="Calibri" w:hAnsi="Calibri" w:cs="Calibri"/>
          <w:sz w:val="22"/>
          <w:szCs w:val="22"/>
        </w:rPr>
      </w:pPr>
    </w:p>
    <w:p w14:paraId="0F37D3FF" w14:textId="77777777" w:rsidR="00D04A08" w:rsidRPr="00D04A08" w:rsidRDefault="00D04A08" w:rsidP="00D04A08">
      <w:pPr>
        <w:pStyle w:val="Footer"/>
        <w:rPr>
          <w:rStyle w:val="Hyperlink"/>
          <w:rFonts w:ascii="Calibri" w:hAnsi="Calibri" w:cs="Calibri"/>
          <w:sz w:val="22"/>
          <w:szCs w:val="22"/>
        </w:rPr>
      </w:pPr>
      <w:r w:rsidRPr="00D04A08">
        <w:rPr>
          <w:rStyle w:val="Hyperlink"/>
          <w:rFonts w:ascii="Calibri" w:hAnsi="Calibri" w:cs="Calibri"/>
          <w:sz w:val="22"/>
          <w:szCs w:val="22"/>
        </w:rPr>
        <w:t>Health Information Translations</w:t>
      </w:r>
    </w:p>
    <w:p w14:paraId="6BCC9A8D" w14:textId="77777777" w:rsidR="00D04A08" w:rsidRPr="00D04A08" w:rsidRDefault="004D3DA3" w:rsidP="00D04A08">
      <w:pPr>
        <w:pStyle w:val="Footer"/>
        <w:rPr>
          <w:rStyle w:val="Hyperlink"/>
          <w:rFonts w:ascii="Calibri" w:hAnsi="Calibri" w:cs="Calibri"/>
          <w:sz w:val="22"/>
          <w:szCs w:val="22"/>
        </w:rPr>
      </w:pPr>
      <w:hyperlink r:id="rId15" w:history="1">
        <w:r w:rsidR="00D04A08" w:rsidRPr="00D04A08">
          <w:rPr>
            <w:rStyle w:val="Hyperlink"/>
            <w:rFonts w:ascii="Calibri" w:hAnsi="Calibri" w:cs="Calibri"/>
            <w:sz w:val="22"/>
            <w:szCs w:val="22"/>
          </w:rPr>
          <w:t>https://healthinfotranslations.org/</w:t>
        </w:r>
      </w:hyperlink>
    </w:p>
    <w:p w14:paraId="235206EA" w14:textId="77777777" w:rsidR="00D04A08" w:rsidRPr="00D04A08" w:rsidRDefault="00D04A08" w:rsidP="00D04A08">
      <w:pPr>
        <w:pStyle w:val="Footer"/>
        <w:rPr>
          <w:rStyle w:val="Hyperlink"/>
          <w:rFonts w:ascii="Calibri" w:hAnsi="Calibri" w:cs="Calibri"/>
          <w:sz w:val="22"/>
          <w:szCs w:val="22"/>
        </w:rPr>
      </w:pPr>
    </w:p>
    <w:p w14:paraId="1CE003DF" w14:textId="77777777" w:rsidR="00D04A08" w:rsidRPr="00D04A08" w:rsidRDefault="00D04A08" w:rsidP="00D04A08">
      <w:pPr>
        <w:pStyle w:val="Footer"/>
        <w:rPr>
          <w:rStyle w:val="Hyperlink"/>
          <w:rFonts w:ascii="Calibri" w:hAnsi="Calibri" w:cs="Calibri"/>
          <w:sz w:val="22"/>
          <w:szCs w:val="22"/>
        </w:rPr>
      </w:pPr>
      <w:r w:rsidRPr="00D04A08">
        <w:rPr>
          <w:rStyle w:val="Hyperlink"/>
          <w:rFonts w:ascii="Calibri" w:hAnsi="Calibri" w:cs="Calibri"/>
          <w:sz w:val="22"/>
          <w:szCs w:val="22"/>
        </w:rPr>
        <w:t>American Translators Association</w:t>
      </w:r>
    </w:p>
    <w:p w14:paraId="590132B7" w14:textId="77777777" w:rsidR="00D04A08" w:rsidRPr="00D04A08" w:rsidRDefault="004D3DA3" w:rsidP="00D04A08">
      <w:pPr>
        <w:pStyle w:val="Footer"/>
        <w:rPr>
          <w:rStyle w:val="Hyperlink"/>
          <w:rFonts w:ascii="Calibri" w:hAnsi="Calibri" w:cs="Calibri"/>
          <w:sz w:val="22"/>
          <w:szCs w:val="22"/>
        </w:rPr>
      </w:pPr>
      <w:hyperlink r:id="rId16" w:history="1">
        <w:r w:rsidR="00D04A08" w:rsidRPr="00D04A08">
          <w:rPr>
            <w:rStyle w:val="Hyperlink"/>
            <w:rFonts w:ascii="Calibri" w:hAnsi="Calibri" w:cs="Calibri"/>
            <w:sz w:val="22"/>
            <w:szCs w:val="22"/>
          </w:rPr>
          <w:t>https://www.atanet.org/onlinedirectories/search_advanced.php</w:t>
        </w:r>
      </w:hyperlink>
    </w:p>
    <w:p w14:paraId="1E0372DF" w14:textId="77777777" w:rsidR="00D04A08" w:rsidRPr="00D04A08" w:rsidRDefault="00D04A08" w:rsidP="00D04A08">
      <w:pPr>
        <w:pStyle w:val="Footer"/>
        <w:rPr>
          <w:rStyle w:val="Hyperlink"/>
          <w:rFonts w:ascii="Calibri" w:hAnsi="Calibri" w:cs="Calibri"/>
          <w:sz w:val="22"/>
          <w:szCs w:val="22"/>
        </w:rPr>
      </w:pPr>
    </w:p>
    <w:p w14:paraId="055A8711" w14:textId="77777777" w:rsidR="00D04A08" w:rsidRPr="00D04A08" w:rsidRDefault="00D04A08" w:rsidP="00D04A08">
      <w:pPr>
        <w:pStyle w:val="Footer"/>
        <w:rPr>
          <w:rStyle w:val="Hyperlink"/>
          <w:rFonts w:ascii="Calibri" w:hAnsi="Calibri" w:cs="Calibri"/>
          <w:sz w:val="22"/>
          <w:szCs w:val="22"/>
        </w:rPr>
      </w:pPr>
      <w:bookmarkStart w:id="3" w:name="_Hlk2099077"/>
      <w:r w:rsidRPr="00D04A08">
        <w:rPr>
          <w:rStyle w:val="Hyperlink"/>
          <w:rFonts w:ascii="Calibri" w:hAnsi="Calibri" w:cs="Calibri"/>
          <w:sz w:val="22"/>
          <w:szCs w:val="22"/>
        </w:rPr>
        <w:t>Health Information in Multiple Languages</w:t>
      </w:r>
    </w:p>
    <w:p w14:paraId="7CFC5789" w14:textId="77777777" w:rsidR="00D04A08" w:rsidRPr="00D04A08" w:rsidRDefault="004D3DA3" w:rsidP="00D04A08">
      <w:pPr>
        <w:pStyle w:val="Footer"/>
        <w:rPr>
          <w:rStyle w:val="Hyperlink"/>
          <w:rFonts w:ascii="Calibri" w:hAnsi="Calibri" w:cs="Calibri"/>
          <w:sz w:val="22"/>
          <w:szCs w:val="22"/>
        </w:rPr>
      </w:pPr>
      <w:hyperlink r:id="rId17" w:history="1">
        <w:r w:rsidR="00D04A08" w:rsidRPr="00D04A08">
          <w:rPr>
            <w:rStyle w:val="Hyperlink"/>
            <w:rFonts w:ascii="Calibri" w:hAnsi="Calibri" w:cs="Calibri"/>
            <w:sz w:val="22"/>
            <w:szCs w:val="22"/>
          </w:rPr>
          <w:t>https://medlineplus.gov/languages/languages.html</w:t>
        </w:r>
      </w:hyperlink>
    </w:p>
    <w:bookmarkEnd w:id="3"/>
    <w:p w14:paraId="77B72418" w14:textId="77777777" w:rsidR="00D04A08" w:rsidRPr="00D04A08" w:rsidRDefault="00D04A08" w:rsidP="00D04A08">
      <w:pPr>
        <w:pStyle w:val="Footer"/>
        <w:rPr>
          <w:rStyle w:val="Hyperlink"/>
          <w:rFonts w:ascii="Calibri" w:hAnsi="Calibri" w:cs="Calibri"/>
          <w:sz w:val="22"/>
          <w:szCs w:val="22"/>
        </w:rPr>
      </w:pPr>
    </w:p>
    <w:p w14:paraId="47F09A57" w14:textId="77777777" w:rsidR="00D04A08" w:rsidRPr="00D04A08" w:rsidRDefault="00D04A08" w:rsidP="00D04A08">
      <w:pPr>
        <w:pStyle w:val="Footer"/>
        <w:rPr>
          <w:rStyle w:val="Hyperlink"/>
          <w:rFonts w:ascii="Calibri" w:hAnsi="Calibri" w:cs="Calibri"/>
          <w:sz w:val="22"/>
          <w:szCs w:val="22"/>
        </w:rPr>
      </w:pPr>
      <w:r w:rsidRPr="00D04A08">
        <w:rPr>
          <w:rStyle w:val="Hyperlink"/>
          <w:rFonts w:ascii="Calibri" w:hAnsi="Calibri" w:cs="Calibri"/>
          <w:sz w:val="22"/>
          <w:szCs w:val="22"/>
        </w:rPr>
        <w:t>Toolkit for Making Written Material Clear and Effective</w:t>
      </w:r>
    </w:p>
    <w:p w14:paraId="745DCB8D" w14:textId="77777777" w:rsidR="00D04A08" w:rsidRPr="00D04A08" w:rsidRDefault="004D3DA3" w:rsidP="00D04A08">
      <w:pPr>
        <w:pStyle w:val="Footer"/>
        <w:rPr>
          <w:rStyle w:val="Hyperlink"/>
          <w:rFonts w:ascii="Calibri" w:hAnsi="Calibri" w:cs="Calibri"/>
          <w:sz w:val="22"/>
          <w:szCs w:val="22"/>
        </w:rPr>
      </w:pPr>
      <w:hyperlink r:id="rId18" w:history="1">
        <w:r w:rsidR="00D04A08" w:rsidRPr="00D04A08">
          <w:rPr>
            <w:rStyle w:val="Hyperlink"/>
            <w:rFonts w:ascii="Calibri" w:hAnsi="Calibri" w:cs="Calibri"/>
            <w:sz w:val="22"/>
            <w:szCs w:val="22"/>
          </w:rPr>
          <w:t>https://www.cms.gov/Outreach-and-Education/Outreach/WrittenMaterialsToolkit/index.html?redirect=/writtenmaterialstoolkit/</w:t>
        </w:r>
      </w:hyperlink>
    </w:p>
    <w:p w14:paraId="4D56D928" w14:textId="77777777" w:rsidR="00D04A08" w:rsidRPr="00D04A08" w:rsidRDefault="00D04A08" w:rsidP="00D04A08">
      <w:pPr>
        <w:pStyle w:val="Footer"/>
        <w:rPr>
          <w:rStyle w:val="Hyperlink"/>
          <w:rFonts w:ascii="Calibri" w:hAnsi="Calibri" w:cs="Calibri"/>
          <w:sz w:val="22"/>
          <w:szCs w:val="22"/>
        </w:rPr>
      </w:pPr>
    </w:p>
    <w:p w14:paraId="17D5B3F7" w14:textId="77777777" w:rsidR="00D04A08" w:rsidRPr="00D04A08" w:rsidRDefault="00D04A08" w:rsidP="00D04A08">
      <w:pPr>
        <w:pStyle w:val="Footer"/>
        <w:rPr>
          <w:rStyle w:val="Hyperlink"/>
          <w:rFonts w:ascii="Calibri" w:hAnsi="Calibri" w:cs="Calibri"/>
          <w:sz w:val="22"/>
          <w:szCs w:val="22"/>
        </w:rPr>
      </w:pPr>
      <w:r w:rsidRPr="00D04A08">
        <w:rPr>
          <w:rFonts w:ascii="Calibri" w:hAnsi="Calibri" w:cs="Calibri"/>
          <w:sz w:val="22"/>
          <w:szCs w:val="22"/>
        </w:rPr>
        <w:t>National Quality Forum (NQF). A Comprehensive Framework and Preferred Practices for Measuring and Reporting Cultural Competency: A Consensus Report. Washington, DC: NQF; 2009</w:t>
      </w:r>
    </w:p>
    <w:p w14:paraId="7C65DBCD" w14:textId="77777777" w:rsidR="00D04A08" w:rsidRPr="00D04A08" w:rsidRDefault="00D04A08" w:rsidP="00D04A08">
      <w:pPr>
        <w:rPr>
          <w:rFonts w:ascii="Calibri" w:hAnsi="Calibri" w:cs="Calibri"/>
          <w:b/>
          <w:sz w:val="22"/>
          <w:szCs w:val="22"/>
        </w:rPr>
      </w:pPr>
    </w:p>
    <w:p w14:paraId="27D1FCF4" w14:textId="20CDBD74" w:rsidR="00DE7AF9" w:rsidRPr="00D04A08" w:rsidRDefault="00DE7AF9" w:rsidP="00D04A08">
      <w:pPr>
        <w:rPr>
          <w:rFonts w:ascii="Calibri" w:hAnsi="Calibri" w:cs="Calibri"/>
          <w:b/>
          <w:sz w:val="22"/>
          <w:szCs w:val="22"/>
        </w:rPr>
      </w:pPr>
    </w:p>
    <w:sectPr w:rsidR="00DE7AF9" w:rsidRPr="00D04A08" w:rsidSect="00DE7AF9">
      <w:headerReference w:type="even" r:id="rId19"/>
      <w:headerReference w:type="default" r:id="rId20"/>
      <w:footerReference w:type="even" r:id="rId21"/>
      <w:footerReference w:type="default" r:id="rId22"/>
      <w:headerReference w:type="first" r:id="rId23"/>
      <w:footerReference w:type="first" r:id="rId2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6454" w14:textId="77777777" w:rsidR="004D3DA3" w:rsidRDefault="004D3DA3" w:rsidP="00FE158D">
      <w:r>
        <w:separator/>
      </w:r>
    </w:p>
  </w:endnote>
  <w:endnote w:type="continuationSeparator" w:id="0">
    <w:p w14:paraId="0188F8B3" w14:textId="77777777" w:rsidR="004D3DA3" w:rsidRDefault="004D3DA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AEFC" w14:textId="77777777" w:rsidR="004D3DA3" w:rsidRDefault="004D3DA3" w:rsidP="00FE158D">
      <w:r>
        <w:separator/>
      </w:r>
    </w:p>
  </w:footnote>
  <w:footnote w:type="continuationSeparator" w:id="0">
    <w:p w14:paraId="6E1D6EC3" w14:textId="77777777" w:rsidR="004D3DA3" w:rsidRDefault="004D3DA3" w:rsidP="00FE158D">
      <w:r>
        <w:continuationSeparator/>
      </w:r>
    </w:p>
  </w:footnote>
  <w:footnote w:id="1">
    <w:p w14:paraId="6AAE35D7" w14:textId="77777777" w:rsidR="00D04A08" w:rsidRDefault="00D04A08" w:rsidP="00D04A08">
      <w:pPr>
        <w:pStyle w:val="FootnoteText"/>
      </w:pPr>
      <w:r w:rsidRPr="00024711">
        <w:rPr>
          <w:rFonts w:ascii="Times New Roman" w:hAnsi="Times New Roman"/>
          <w:vertAlign w:val="superscript"/>
        </w:rPr>
        <w:t>1,</w:t>
      </w:r>
      <w:r>
        <w:rPr>
          <w:rFonts w:ascii="Times New Roman" w:hAnsi="Times New Roman"/>
          <w:vertAlign w:val="superscript"/>
        </w:rPr>
        <w:t xml:space="preserve">2 </w:t>
      </w:r>
      <w:r w:rsidRPr="00C76238">
        <w:rPr>
          <w:rFonts w:cstheme="minorHAnsi"/>
        </w:rPr>
        <w:t xml:space="preserve">Centers for Medicare &amp; Medicaid Services Long-Term Care Facility Resident Assessment Instrument 3.0 User’s Manual, Version 1.16.  October 2018:  </w:t>
      </w:r>
      <w:hyperlink r:id="rId1" w:history="1">
        <w:r w:rsidRPr="00C76238">
          <w:rPr>
            <w:rStyle w:val="Hyperlink"/>
            <w:rFonts w:cstheme="minorHAnsi"/>
          </w:rPr>
          <w:t>https://www.cms.gov/Medicare/Quality-Initiatives-Patient-Assessment-Instruments/NursingHomeQualityInits/MDS30RAIManual.html</w:t>
        </w:r>
      </w:hyperlink>
    </w:p>
  </w:footnote>
  <w:footnote w:id="2">
    <w:p w14:paraId="38546860" w14:textId="77777777" w:rsidR="00D04A08" w:rsidRDefault="00D04A08" w:rsidP="00D04A08">
      <w:pPr>
        <w:pStyle w:val="FootnoteText"/>
      </w:pPr>
    </w:p>
  </w:footnote>
  <w:footnote w:id="3">
    <w:p w14:paraId="1934FA9A" w14:textId="77777777" w:rsidR="00D04A08" w:rsidRPr="00A44DFF" w:rsidRDefault="00D04A08" w:rsidP="00D04A08">
      <w:pPr>
        <w:shd w:val="clear" w:color="auto" w:fill="FFFFFF"/>
        <w:spacing w:line="270" w:lineRule="atLeast"/>
        <w:outlineLvl w:val="3"/>
        <w:rPr>
          <w:rFonts w:cstheme="minorHAnsi"/>
          <w:color w:val="333333"/>
          <w:sz w:val="20"/>
        </w:rPr>
      </w:pPr>
      <w:r w:rsidRPr="00A44DFF">
        <w:rPr>
          <w:rStyle w:val="FootnoteReference"/>
          <w:sz w:val="20"/>
        </w:rPr>
        <w:footnoteRef/>
      </w:r>
      <w:r w:rsidRPr="00A44DFF">
        <w:rPr>
          <w:sz w:val="20"/>
        </w:rPr>
        <w:t xml:space="preserve"> </w:t>
      </w:r>
      <w:r w:rsidRPr="00A44DFF">
        <w:rPr>
          <w:rFonts w:cstheme="minorHAnsi"/>
          <w:color w:val="333333"/>
          <w:sz w:val="20"/>
        </w:rPr>
        <w:t xml:space="preserve">The European Food Information Council.  “The determinants of food choice” </w:t>
      </w:r>
      <w:hyperlink r:id="rId2" w:history="1">
        <w:r w:rsidRPr="00A44DFF">
          <w:rPr>
            <w:rStyle w:val="Hyperlink"/>
            <w:rFonts w:cstheme="minorHAnsi"/>
          </w:rPr>
          <w:t>https://www.eufic.org/en/healthy-living/article/the-determinants-of-food-choice</w:t>
        </w:r>
      </w:hyperlink>
    </w:p>
  </w:footnote>
  <w:footnote w:id="4">
    <w:p w14:paraId="207EA39D" w14:textId="77777777" w:rsidR="00D04A08" w:rsidRPr="00A44DFF" w:rsidRDefault="00D04A08" w:rsidP="00D04A08">
      <w:pPr>
        <w:pStyle w:val="Footer"/>
        <w:rPr>
          <w:rStyle w:val="Hyperlink"/>
          <w:rFonts w:cstheme="minorHAnsi"/>
        </w:rPr>
      </w:pPr>
      <w:r w:rsidRPr="00A44DFF">
        <w:rPr>
          <w:rStyle w:val="FootnoteReference"/>
          <w:sz w:val="20"/>
        </w:rPr>
        <w:footnoteRef/>
      </w:r>
      <w:r w:rsidRPr="00A44DFF">
        <w:rPr>
          <w:sz w:val="20"/>
        </w:rPr>
        <w:t xml:space="preserve"> </w:t>
      </w:r>
      <w:r w:rsidRPr="00A44DFF">
        <w:rPr>
          <w:rFonts w:cstheme="minorHAnsi"/>
          <w:sz w:val="20"/>
        </w:rPr>
        <w:t xml:space="preserve">Centers for Medicare &amp; Medicaid Services State Operations Manual, Appendix PP – Guidance to Surveyors for Long Term Care Facilities (Rev. 173, 11-22-17):  </w:t>
      </w:r>
      <w:hyperlink r:id="rId3" w:history="1">
        <w:r w:rsidRPr="00A44DFF">
          <w:rPr>
            <w:rStyle w:val="Hyperlink"/>
            <w:rFonts w:cstheme="minorHAnsi"/>
          </w:rPr>
          <w:t>https://www.cms.gov/Regulations-and-Guidance/Guidance/Manuals/downloads/som107ap_pp_guidelines_ltcf.pdf</w:t>
        </w:r>
      </w:hyperlink>
    </w:p>
    <w:p w14:paraId="35578452" w14:textId="77777777" w:rsidR="00D04A08" w:rsidRDefault="00D04A08" w:rsidP="00D04A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955323"/>
    <w:multiLevelType w:val="hybridMultilevel"/>
    <w:tmpl w:val="6852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3D72"/>
    <w:multiLevelType w:val="hybridMultilevel"/>
    <w:tmpl w:val="048E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FC6DC0"/>
    <w:multiLevelType w:val="hybridMultilevel"/>
    <w:tmpl w:val="5D90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5375F"/>
    <w:multiLevelType w:val="hybridMultilevel"/>
    <w:tmpl w:val="D12613B6"/>
    <w:lvl w:ilvl="0" w:tplc="827C35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4" w15:restartNumberingAfterBreak="0">
    <w:nsid w:val="78EA70BF"/>
    <w:multiLevelType w:val="hybridMultilevel"/>
    <w:tmpl w:val="89725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DCE1EBD"/>
    <w:multiLevelType w:val="multilevel"/>
    <w:tmpl w:val="C92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num>
  <w:num w:numId="24">
    <w:abstractNumId w:val="12"/>
  </w:num>
  <w:num w:numId="25">
    <w:abstractNumId w:val="23"/>
  </w:num>
  <w:num w:numId="26">
    <w:abstractNumId w:val="18"/>
  </w:num>
  <w:num w:numId="27">
    <w:abstractNumId w:val="24"/>
  </w:num>
  <w:num w:numId="28">
    <w:abstractNumId w:val="10"/>
  </w:num>
  <w:num w:numId="29">
    <w:abstractNumId w:val="28"/>
  </w:num>
  <w:num w:numId="30">
    <w:abstractNumId w:val="26"/>
  </w:num>
  <w:num w:numId="31">
    <w:abstractNumId w:val="39"/>
  </w:num>
  <w:num w:numId="32">
    <w:abstractNumId w:val="29"/>
  </w:num>
  <w:num w:numId="33">
    <w:abstractNumId w:val="1"/>
  </w:num>
  <w:num w:numId="34">
    <w:abstractNumId w:val="32"/>
  </w:num>
  <w:num w:numId="35">
    <w:abstractNumId w:val="9"/>
  </w:num>
  <w:num w:numId="36">
    <w:abstractNumId w:val="38"/>
  </w:num>
  <w:num w:numId="37">
    <w:abstractNumId w:val="15"/>
  </w:num>
  <w:num w:numId="38">
    <w:abstractNumId w:val="20"/>
  </w:num>
  <w:num w:numId="39">
    <w:abstractNumId w:val="42"/>
  </w:num>
  <w:num w:numId="40">
    <w:abstractNumId w:val="44"/>
  </w:num>
  <w:num w:numId="41">
    <w:abstractNumId w:val="40"/>
  </w:num>
  <w:num w:numId="42">
    <w:abstractNumId w:val="34"/>
  </w:num>
  <w:num w:numId="43">
    <w:abstractNumId w:val="45"/>
  </w:num>
  <w:num w:numId="44">
    <w:abstractNumId w:val="3"/>
  </w:num>
  <w:num w:numId="4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376A2"/>
    <w:rsid w:val="00257E7E"/>
    <w:rsid w:val="00293DA2"/>
    <w:rsid w:val="002B6A29"/>
    <w:rsid w:val="002C5F29"/>
    <w:rsid w:val="002F2B8A"/>
    <w:rsid w:val="003011C7"/>
    <w:rsid w:val="00301AA8"/>
    <w:rsid w:val="00372DF7"/>
    <w:rsid w:val="00373CF0"/>
    <w:rsid w:val="003A3E8D"/>
    <w:rsid w:val="003B0939"/>
    <w:rsid w:val="003F0C77"/>
    <w:rsid w:val="0048212A"/>
    <w:rsid w:val="00484844"/>
    <w:rsid w:val="004D3DA3"/>
    <w:rsid w:val="00504A57"/>
    <w:rsid w:val="00534CAA"/>
    <w:rsid w:val="0053732B"/>
    <w:rsid w:val="005438CB"/>
    <w:rsid w:val="00565F54"/>
    <w:rsid w:val="00593E4B"/>
    <w:rsid w:val="005E4A3D"/>
    <w:rsid w:val="005F036A"/>
    <w:rsid w:val="006034EC"/>
    <w:rsid w:val="00603AC0"/>
    <w:rsid w:val="00605605"/>
    <w:rsid w:val="00610027"/>
    <w:rsid w:val="006338B1"/>
    <w:rsid w:val="006A3CC2"/>
    <w:rsid w:val="006B2ED2"/>
    <w:rsid w:val="006F20D0"/>
    <w:rsid w:val="007251EF"/>
    <w:rsid w:val="00783084"/>
    <w:rsid w:val="007A0C8B"/>
    <w:rsid w:val="007A61F1"/>
    <w:rsid w:val="007E635E"/>
    <w:rsid w:val="007F26C3"/>
    <w:rsid w:val="00805910"/>
    <w:rsid w:val="008259FB"/>
    <w:rsid w:val="00845338"/>
    <w:rsid w:val="008769D3"/>
    <w:rsid w:val="00893527"/>
    <w:rsid w:val="008E7224"/>
    <w:rsid w:val="00904698"/>
    <w:rsid w:val="009073EC"/>
    <w:rsid w:val="009478FB"/>
    <w:rsid w:val="00951B77"/>
    <w:rsid w:val="009B7479"/>
    <w:rsid w:val="009C106D"/>
    <w:rsid w:val="009C583E"/>
    <w:rsid w:val="009F0488"/>
    <w:rsid w:val="009F0DE7"/>
    <w:rsid w:val="00A039B0"/>
    <w:rsid w:val="00A25232"/>
    <w:rsid w:val="00A811C7"/>
    <w:rsid w:val="00A9460A"/>
    <w:rsid w:val="00AB677E"/>
    <w:rsid w:val="00AC0FC3"/>
    <w:rsid w:val="00AF5E48"/>
    <w:rsid w:val="00B019EA"/>
    <w:rsid w:val="00B24FB4"/>
    <w:rsid w:val="00B55D99"/>
    <w:rsid w:val="00B576FB"/>
    <w:rsid w:val="00B87514"/>
    <w:rsid w:val="00BB507F"/>
    <w:rsid w:val="00BC6856"/>
    <w:rsid w:val="00BD3271"/>
    <w:rsid w:val="00BF1EB5"/>
    <w:rsid w:val="00C0102E"/>
    <w:rsid w:val="00C170A5"/>
    <w:rsid w:val="00C70196"/>
    <w:rsid w:val="00C71D53"/>
    <w:rsid w:val="00CA23BA"/>
    <w:rsid w:val="00CA5C6D"/>
    <w:rsid w:val="00CA7F54"/>
    <w:rsid w:val="00D04A08"/>
    <w:rsid w:val="00D65636"/>
    <w:rsid w:val="00D8400B"/>
    <w:rsid w:val="00DB6D68"/>
    <w:rsid w:val="00DC40AB"/>
    <w:rsid w:val="00DE7AF9"/>
    <w:rsid w:val="00E67E7C"/>
    <w:rsid w:val="00E94EC6"/>
    <w:rsid w:val="00ED6153"/>
    <w:rsid w:val="00EF0A00"/>
    <w:rsid w:val="00F33CE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D04A08"/>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F5E48"/>
    <w:rPr>
      <w:i/>
      <w:iCs/>
    </w:rPr>
  </w:style>
  <w:style w:type="character" w:customStyle="1" w:styleId="Heading4Char">
    <w:name w:val="Heading 4 Char"/>
    <w:basedOn w:val="DefaultParagraphFont"/>
    <w:link w:val="Heading4"/>
    <w:uiPriority w:val="9"/>
    <w:rsid w:val="00D04A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NursingHomeQualityInits/MDS30RAIManual.html" TargetMode="External"/><Relationship Id="rId13" Type="http://schemas.openxmlformats.org/officeDocument/2006/relationships/hyperlink" Target="https://www.jointcommission.org/assets/1/6/ARoadmapforHospitalsfinalversion727.pdf" TargetMode="External"/><Relationship Id="rId18" Type="http://schemas.openxmlformats.org/officeDocument/2006/relationships/hyperlink" Target="https://www.cms.gov/Outreach-and-Education/Outreach/WrittenMaterialsToolkit/index.html?redirect=/writtenmaterialstool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html" TargetMode="External"/><Relationship Id="rId17" Type="http://schemas.openxmlformats.org/officeDocument/2006/relationships/hyperlink" Target="https://medlineplus.gov/languages/languag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tanet.org/onlinedirectories/search_advanced.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culturalhealth.hhs.gov/pdfs/EnhancedCLASStandardsBlueprint.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ealthinfotranslations.org/" TargetMode="External"/><Relationship Id="rId23" Type="http://schemas.openxmlformats.org/officeDocument/2006/relationships/header" Target="header3.xml"/><Relationship Id="rId10" Type="http://schemas.openxmlformats.org/officeDocument/2006/relationships/hyperlink" Target="https://www.cms.gov/Regulations-and-Guidance/Guidance/Manuals/downloads/som107ap_pp_guidelines_ltcf.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fic.org/en/healthy-living/article/the-determinants-of-food-choice" TargetMode="External"/><Relationship Id="rId14" Type="http://schemas.openxmlformats.org/officeDocument/2006/relationships/hyperlink" Target="https://geriatrics.stanford.edu/ethnomed.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eufic.org/en/healthy-living/article/the-determinants-of-food-choice" TargetMode="External"/><Relationship Id="rId1" Type="http://schemas.openxmlformats.org/officeDocument/2006/relationships/hyperlink" Target="https://www.cms.gov/Medicare/Quality-Initiatives-Patient-Assessment-Instruments/NursingHomeQualityInits/MDS30RAIManua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844F-7379-43D0-B8F1-732DF111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2019-05-07T17:41:00Z</dcterms:created>
  <dcterms:modified xsi:type="dcterms:W3CDTF">2019-05-09T15:34:00Z</dcterms:modified>
</cp:coreProperties>
</file>