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715A0FA7" w:rsidR="00DE7AF9" w:rsidRDefault="00AD3219"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2DD165C2">
                <wp:simplePos x="0" y="0"/>
                <wp:positionH relativeFrom="margin">
                  <wp:align>left</wp:align>
                </wp:positionH>
                <wp:positionV relativeFrom="page">
                  <wp:posOffset>914400</wp:posOffset>
                </wp:positionV>
                <wp:extent cx="6438900" cy="11353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438900" cy="1135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E78FEC" w14:textId="461B1494" w:rsidR="00E42992" w:rsidRDefault="004E6B46">
                            <w:pPr>
                              <w:rPr>
                                <w:rFonts w:ascii="Calibri" w:hAnsi="Calibri"/>
                                <w:b/>
                                <w:color w:val="FFFFFF" w:themeColor="background1"/>
                                <w:sz w:val="72"/>
                              </w:rPr>
                            </w:pPr>
                            <w:r>
                              <w:rPr>
                                <w:rFonts w:ascii="Calibri" w:hAnsi="Calibri"/>
                                <w:b/>
                                <w:color w:val="FFFFFF" w:themeColor="background1"/>
                                <w:sz w:val="72"/>
                              </w:rPr>
                              <w:t>Dementia Care</w:t>
                            </w:r>
                          </w:p>
                          <w:p w14:paraId="6D9C8B63" w14:textId="5A81DC26"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0;margin-top:1in;width:507pt;height:89.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" filled="f" stroked="f" strokeweight=".5pt">
                <v:textbox>
                  <w:txbxContent>
                    <w:p w14:paraId="42E78FEC" w14:textId="461B1494" w:rsidR="00E42992" w:rsidRDefault="004E6B46">
                      <w:pPr>
                        <w:rPr>
                          <w:rFonts w:ascii="Calibri" w:hAnsi="Calibri"/>
                          <w:b/>
                          <w:color w:val="FFFFFF" w:themeColor="background1"/>
                          <w:sz w:val="72"/>
                        </w:rPr>
                      </w:pPr>
                      <w:r>
                        <w:rPr>
                          <w:rFonts w:ascii="Calibri" w:hAnsi="Calibri"/>
                          <w:b/>
                          <w:color w:val="FFFFFF" w:themeColor="background1"/>
                          <w:sz w:val="72"/>
                        </w:rPr>
                        <w:t>Dementia Care</w:t>
                      </w:r>
                    </w:p>
                    <w:p w14:paraId="6D9C8B63" w14:textId="5A81DC26"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v:textbox>
                <w10:wrap anchorx="margin" anchory="page"/>
              </v:shape>
            </w:pict>
          </mc:Fallback>
        </mc:AlternateContent>
      </w:r>
    </w:p>
    <w:p w14:paraId="13ED4F79" w14:textId="27176318" w:rsidR="001E4C9D" w:rsidRDefault="00E42992"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578E6CB1">
                <wp:simplePos x="0" y="0"/>
                <wp:positionH relativeFrom="column">
                  <wp:posOffset>41275</wp:posOffset>
                </wp:positionH>
                <wp:positionV relativeFrom="paragraph">
                  <wp:posOffset>408940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6DE1B7D1" w:rsidR="00484844" w:rsidRPr="00A7694A" w:rsidRDefault="00AD3219">
                            <w:pPr>
                              <w:rPr>
                                <w:rFonts w:asciiTheme="minorHAnsi" w:hAnsiTheme="minorHAnsi"/>
                                <w:color w:val="FFFFFF" w:themeColor="background1"/>
                                <w:sz w:val="48"/>
                                <w:szCs w:val="48"/>
                                <w14:textOutline w14:w="9525" w14:cap="rnd" w14:cmpd="sng" w14:algn="ctr">
                                  <w14:noFill/>
                                  <w14:prstDash w14:val="solid"/>
                                  <w14:bevel/>
                                </w14:textOutline>
                              </w:rPr>
                            </w:pPr>
                            <w:r w:rsidRPr="00A7694A">
                              <w:rPr>
                                <w:rFonts w:asciiTheme="minorHAnsi" w:hAnsiTheme="minorHAnsi"/>
                                <w:color w:val="FFFFFF" w:themeColor="background1"/>
                                <w:sz w:val="48"/>
                                <w:szCs w:val="48"/>
                                <w14:textOutline w14:w="9525" w14:cap="rnd" w14:cmpd="sng" w14:algn="ctr">
                                  <w14:noFill/>
                                  <w14:prstDash w14:val="solid"/>
                                  <w14:bevel/>
                                </w14:textOutline>
                              </w:rPr>
                              <w:t>Leader</w:t>
                            </w:r>
                            <w:r w:rsidR="004E7603" w:rsidRPr="00A7694A">
                              <w:rPr>
                                <w:rFonts w:asciiTheme="minorHAnsi" w:hAnsiTheme="minorHAnsi"/>
                                <w:color w:val="FFFFFF" w:themeColor="background1"/>
                                <w:sz w:val="48"/>
                                <w:szCs w:val="48"/>
                                <w14:textOutline w14:w="9525" w14:cap="rnd" w14:cmpd="sng" w14:algn="ctr">
                                  <w14:noFill/>
                                  <w14:prstDash w14:val="solid"/>
                                  <w14:bevel/>
                                </w14:textOutline>
                              </w:rPr>
                              <w:t>’</w:t>
                            </w:r>
                            <w:r w:rsidRPr="00A7694A">
                              <w:rPr>
                                <w:rFonts w:asciiTheme="minorHAnsi" w:hAnsiTheme="minorHAnsi"/>
                                <w:color w:val="FFFFFF" w:themeColor="background1"/>
                                <w:sz w:val="48"/>
                                <w:szCs w:val="48"/>
                                <w14:textOutline w14:w="9525" w14:cap="rnd" w14:cmpd="sng" w14:algn="ctr">
                                  <w14:noFill/>
                                  <w14:prstDash w14:val="solid"/>
                                  <w14:bevel/>
                                </w14:textOutline>
                              </w:rPr>
                              <w:t>s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B1F72" id="_x0000_t202" coordsize="21600,21600" o:spt="202" path="m,l,21600r21600,l21600,xe">
                <v:stroke joinstyle="miter"/>
                <v:path gradientshapeok="t" o:connecttype="rect"/>
              </v:shapetype>
              <v:shape id="Text Box 5" o:spid="_x0000_s1027" type="#_x0000_t202" style="position:absolute;margin-left:3.25pt;margin-top:32.2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" filled="f" stroked="f" strokeweight=".5pt">
                <v:textbox>
                  <w:txbxContent>
                    <w:p w14:paraId="030DB412" w14:textId="6DE1B7D1" w:rsidR="00484844" w:rsidRPr="00A7694A" w:rsidRDefault="00AD3219">
                      <w:pPr>
                        <w:rPr>
                          <w:rFonts w:asciiTheme="minorHAnsi" w:hAnsiTheme="minorHAnsi"/>
                          <w:color w:val="FFFFFF" w:themeColor="background1"/>
                          <w:sz w:val="48"/>
                          <w:szCs w:val="48"/>
                          <w14:textOutline w14:w="9525" w14:cap="rnd" w14:cmpd="sng" w14:algn="ctr">
                            <w14:noFill/>
                            <w14:prstDash w14:val="solid"/>
                            <w14:bevel/>
                          </w14:textOutline>
                        </w:rPr>
                      </w:pPr>
                      <w:r w:rsidRPr="00A7694A">
                        <w:rPr>
                          <w:rFonts w:asciiTheme="minorHAnsi" w:hAnsiTheme="minorHAnsi"/>
                          <w:color w:val="FFFFFF" w:themeColor="background1"/>
                          <w:sz w:val="48"/>
                          <w:szCs w:val="48"/>
                          <w14:textOutline w14:w="9525" w14:cap="rnd" w14:cmpd="sng" w14:algn="ctr">
                            <w14:noFill/>
                            <w14:prstDash w14:val="solid"/>
                            <w14:bevel/>
                          </w14:textOutline>
                        </w:rPr>
                        <w:t>Leader</w:t>
                      </w:r>
                      <w:r w:rsidR="004E7603" w:rsidRPr="00A7694A">
                        <w:rPr>
                          <w:rFonts w:asciiTheme="minorHAnsi" w:hAnsiTheme="minorHAnsi"/>
                          <w:color w:val="FFFFFF" w:themeColor="background1"/>
                          <w:sz w:val="48"/>
                          <w:szCs w:val="48"/>
                          <w14:textOutline w14:w="9525" w14:cap="rnd" w14:cmpd="sng" w14:algn="ctr">
                            <w14:noFill/>
                            <w14:prstDash w14:val="solid"/>
                            <w14:bevel/>
                          </w14:textOutline>
                        </w:rPr>
                        <w:t>’</w:t>
                      </w:r>
                      <w:r w:rsidRPr="00A7694A">
                        <w:rPr>
                          <w:rFonts w:asciiTheme="minorHAnsi" w:hAnsiTheme="minorHAnsi"/>
                          <w:color w:val="FFFFFF" w:themeColor="background1"/>
                          <w:sz w:val="48"/>
                          <w:szCs w:val="48"/>
                          <w14:textOutline w14:w="9525" w14:cap="rnd" w14:cmpd="sng" w14:algn="ctr">
                            <w14:noFill/>
                            <w14:prstDash w14:val="solid"/>
                            <w14:bevel/>
                          </w14:textOutline>
                        </w:rPr>
                        <w:t>s Guide</w:t>
                      </w:r>
                    </w:p>
                  </w:txbxContent>
                </v:textbox>
              </v:shape>
            </w:pict>
          </mc:Fallback>
        </mc:AlternateContent>
      </w:r>
      <w:r w:rsidR="00DE7AF9">
        <w:rPr>
          <w:rFonts w:ascii="Calibri" w:hAnsi="Calibri"/>
          <w:b/>
          <w:sz w:val="32"/>
        </w:rPr>
        <w:br w:type="page"/>
      </w:r>
    </w:p>
    <w:p w14:paraId="00212963" w14:textId="45A52C10" w:rsidR="004E6B46" w:rsidRPr="004E6B46" w:rsidRDefault="004E6B46" w:rsidP="004E6B46">
      <w:pPr>
        <w:jc w:val="center"/>
        <w:rPr>
          <w:rFonts w:ascii="Calibri" w:hAnsi="Calibri" w:cs="Calibri"/>
          <w:b/>
          <w:sz w:val="28"/>
          <w:szCs w:val="28"/>
        </w:rPr>
      </w:pPr>
      <w:r w:rsidRPr="004E6B46">
        <w:rPr>
          <w:rFonts w:ascii="Calibri" w:hAnsi="Calibri" w:cs="Calibri"/>
          <w:b/>
          <w:sz w:val="28"/>
          <w:szCs w:val="28"/>
        </w:rPr>
        <w:lastRenderedPageBreak/>
        <w:t>Dementia Care</w:t>
      </w:r>
    </w:p>
    <w:p w14:paraId="6C98331B" w14:textId="77777777" w:rsidR="004E6B46" w:rsidRPr="004E6B46" w:rsidRDefault="004E6B46" w:rsidP="004E6B46">
      <w:pPr>
        <w:jc w:val="center"/>
        <w:rPr>
          <w:rFonts w:ascii="Calibri" w:hAnsi="Calibri" w:cs="Calibri"/>
          <w:b/>
          <w:sz w:val="22"/>
          <w:szCs w:val="22"/>
        </w:rPr>
      </w:pPr>
    </w:p>
    <w:p w14:paraId="133D7B42" w14:textId="25ED9616" w:rsidR="004E6B46" w:rsidRPr="004E6B46" w:rsidRDefault="004E6B46" w:rsidP="004E6B46">
      <w:pPr>
        <w:rPr>
          <w:rFonts w:ascii="Calibri" w:hAnsi="Calibri" w:cs="Calibri"/>
          <w:b/>
          <w:szCs w:val="24"/>
        </w:rPr>
      </w:pPr>
      <w:r w:rsidRPr="004E6B46">
        <w:rPr>
          <w:rFonts w:ascii="Calibri" w:hAnsi="Calibri" w:cs="Calibri"/>
          <w:b/>
          <w:szCs w:val="24"/>
        </w:rPr>
        <w:t>Leader’s Guide</w:t>
      </w:r>
    </w:p>
    <w:p w14:paraId="26A38676" w14:textId="77777777" w:rsidR="004E6B46" w:rsidRPr="004E6B46" w:rsidRDefault="004E6B46" w:rsidP="004E6B46">
      <w:pPr>
        <w:rPr>
          <w:rFonts w:ascii="Calibri" w:hAnsi="Calibri" w:cs="Calibri"/>
          <w:b/>
          <w:sz w:val="22"/>
          <w:szCs w:val="22"/>
        </w:rPr>
      </w:pPr>
    </w:p>
    <w:p w14:paraId="38AE409C" w14:textId="12CAE2E8" w:rsidR="004E6B46" w:rsidRPr="004E6B46" w:rsidRDefault="004E6B46" w:rsidP="004E6B46">
      <w:pPr>
        <w:rPr>
          <w:rFonts w:ascii="Calibri" w:hAnsi="Calibri" w:cs="Calibri"/>
          <w:iCs/>
          <w:sz w:val="22"/>
          <w:szCs w:val="22"/>
        </w:rPr>
      </w:pPr>
      <w:r w:rsidRPr="004E6B46">
        <w:rPr>
          <w:rFonts w:ascii="Calibri" w:hAnsi="Calibri" w:cs="Calibri"/>
          <w:iCs/>
          <w:sz w:val="22"/>
          <w:szCs w:val="22"/>
        </w:rPr>
        <w:t>CMS, as outlined in F744, indicates, “Providing care for residents living with dementia is an integral part of the person-centered environment, which is necessary to support a high quality of life with meaningful relationships and engagement. Fundamental principles of care for persons living with dementia involve an interdisciplinary approach that focuses holistically on the needs of the resident living with dementia, as well as the needs of the other residents in the nursing home. Additionally, it includes qualified staff that demonstrate the competencies and skills to support residents through the implementation of individualized approaches to care (including direct care and activities) that are directed toward understanding, preventing, relieving, and/or accommodating a resident’s distress or loss of abilities.</w:t>
      </w:r>
      <w:r w:rsidR="0050099E">
        <w:rPr>
          <w:rFonts w:ascii="Calibri" w:hAnsi="Calibri" w:cs="Calibri"/>
          <w:iCs/>
          <w:sz w:val="22"/>
          <w:szCs w:val="22"/>
        </w:rPr>
        <w:t>”</w:t>
      </w:r>
      <w:r w:rsidR="0050099E">
        <w:rPr>
          <w:rStyle w:val="FootnoteReference"/>
          <w:rFonts w:ascii="Calibri" w:hAnsi="Calibri" w:cs="Calibri"/>
          <w:iCs/>
          <w:sz w:val="22"/>
          <w:szCs w:val="22"/>
        </w:rPr>
        <w:footnoteReference w:id="1"/>
      </w:r>
    </w:p>
    <w:p w14:paraId="25119672" w14:textId="77777777" w:rsidR="004E6B46" w:rsidRDefault="004E6B46" w:rsidP="004E6B46">
      <w:pPr>
        <w:pStyle w:val="Default"/>
        <w:rPr>
          <w:rFonts w:ascii="Calibri" w:hAnsi="Calibri" w:cs="Calibri"/>
          <w:iCs/>
          <w:sz w:val="22"/>
          <w:szCs w:val="22"/>
        </w:rPr>
      </w:pPr>
    </w:p>
    <w:p w14:paraId="0FF17A45" w14:textId="7C92C862" w:rsidR="004E6B46" w:rsidRDefault="0050099E" w:rsidP="004E6B46">
      <w:pPr>
        <w:pStyle w:val="Default"/>
        <w:rPr>
          <w:rFonts w:ascii="Calibri" w:hAnsi="Calibri" w:cs="Calibri"/>
          <w:iCs/>
          <w:sz w:val="22"/>
          <w:szCs w:val="22"/>
        </w:rPr>
      </w:pPr>
      <w:r>
        <w:rPr>
          <w:rFonts w:ascii="Calibri" w:hAnsi="Calibri" w:cs="Calibri"/>
          <w:iCs/>
          <w:sz w:val="22"/>
          <w:szCs w:val="22"/>
        </w:rPr>
        <w:t>“</w:t>
      </w:r>
      <w:r w:rsidR="004E6B46" w:rsidRPr="004E6B46">
        <w:rPr>
          <w:rFonts w:ascii="Calibri" w:hAnsi="Calibri" w:cs="Calibri"/>
          <w:iCs/>
          <w:sz w:val="22"/>
          <w:szCs w:val="22"/>
        </w:rPr>
        <w:t xml:space="preserve">The facility must provide dementia treatment and services which may include, but are not limited to the following: </w:t>
      </w:r>
    </w:p>
    <w:p w14:paraId="6BD6A31F" w14:textId="77777777" w:rsidR="004E6B46" w:rsidRPr="004E6B46" w:rsidRDefault="004E6B46" w:rsidP="004E6B46">
      <w:pPr>
        <w:pStyle w:val="Default"/>
        <w:rPr>
          <w:rFonts w:ascii="Calibri" w:hAnsi="Calibri" w:cs="Calibri"/>
          <w:sz w:val="22"/>
          <w:szCs w:val="22"/>
        </w:rPr>
      </w:pPr>
    </w:p>
    <w:p w14:paraId="3DEC6DB4" w14:textId="243CD174" w:rsidR="004E6B46" w:rsidRDefault="004E6B46" w:rsidP="0050099E">
      <w:pPr>
        <w:pStyle w:val="Default"/>
        <w:ind w:left="720" w:hanging="360"/>
        <w:rPr>
          <w:rFonts w:ascii="Calibri" w:hAnsi="Calibri" w:cs="Calibri"/>
          <w:iCs/>
          <w:sz w:val="22"/>
          <w:szCs w:val="22"/>
        </w:rPr>
      </w:pPr>
      <w:r w:rsidRPr="004E6B46">
        <w:rPr>
          <w:rFonts w:ascii="Calibri" w:hAnsi="Calibri" w:cs="Calibri"/>
          <w:sz w:val="22"/>
          <w:szCs w:val="22"/>
        </w:rPr>
        <w:t xml:space="preserve">• </w:t>
      </w:r>
      <w:r w:rsidRPr="004E6B46">
        <w:rPr>
          <w:rFonts w:ascii="Calibri" w:hAnsi="Calibri" w:cs="Calibri"/>
          <w:iCs/>
          <w:sz w:val="22"/>
          <w:szCs w:val="22"/>
        </w:rPr>
        <w:t xml:space="preserve">Ensuring adequate medical care, diagnosis, and supports based on diagnosis; </w:t>
      </w:r>
    </w:p>
    <w:p w14:paraId="4C3C05EA" w14:textId="77777777" w:rsidR="004E6B46" w:rsidRPr="004E6B46" w:rsidRDefault="004E6B46" w:rsidP="0050099E">
      <w:pPr>
        <w:pStyle w:val="Default"/>
        <w:rPr>
          <w:rFonts w:ascii="Calibri" w:hAnsi="Calibri" w:cs="Calibri"/>
          <w:sz w:val="22"/>
          <w:szCs w:val="22"/>
        </w:rPr>
      </w:pPr>
    </w:p>
    <w:p w14:paraId="3239548E" w14:textId="35BBB362" w:rsidR="004E6B46" w:rsidRDefault="004E6B46" w:rsidP="0050099E">
      <w:pPr>
        <w:pStyle w:val="Default"/>
        <w:ind w:left="720" w:hanging="360"/>
        <w:rPr>
          <w:rFonts w:ascii="Calibri" w:hAnsi="Calibri" w:cs="Calibri"/>
          <w:iCs/>
          <w:sz w:val="22"/>
          <w:szCs w:val="22"/>
        </w:rPr>
      </w:pPr>
      <w:r w:rsidRPr="004E6B46">
        <w:rPr>
          <w:rFonts w:ascii="Calibri" w:hAnsi="Calibri" w:cs="Calibri"/>
          <w:sz w:val="22"/>
          <w:szCs w:val="22"/>
        </w:rPr>
        <w:t xml:space="preserve">• </w:t>
      </w:r>
      <w:r w:rsidRPr="004E6B46">
        <w:rPr>
          <w:rFonts w:ascii="Calibri" w:hAnsi="Calibri" w:cs="Calibri"/>
          <w:iCs/>
          <w:sz w:val="22"/>
          <w:szCs w:val="22"/>
        </w:rPr>
        <w:t xml:space="preserve">Ensuring that the necessary care and services are person-centered and reflect the resident’s goals, while maximizing the resident’s dignity, autonomy, privacy, socialization, independence, choice, and safety; and </w:t>
      </w:r>
    </w:p>
    <w:p w14:paraId="7CDD741D" w14:textId="77777777" w:rsidR="004E6B46" w:rsidRPr="004E6B46" w:rsidRDefault="004E6B46" w:rsidP="0050099E">
      <w:pPr>
        <w:pStyle w:val="Default"/>
        <w:ind w:left="720" w:hanging="360"/>
        <w:rPr>
          <w:rFonts w:ascii="Calibri" w:hAnsi="Calibri" w:cs="Calibri"/>
          <w:sz w:val="22"/>
          <w:szCs w:val="22"/>
        </w:rPr>
      </w:pPr>
    </w:p>
    <w:p w14:paraId="5C6D8DF9" w14:textId="77777777" w:rsidR="004E6B46" w:rsidRPr="004E6B46" w:rsidRDefault="004E6B46" w:rsidP="0050099E">
      <w:pPr>
        <w:pStyle w:val="Default"/>
        <w:ind w:left="720" w:hanging="360"/>
        <w:jc w:val="both"/>
        <w:rPr>
          <w:rFonts w:ascii="Calibri" w:hAnsi="Calibri" w:cs="Calibri"/>
          <w:iCs/>
          <w:sz w:val="22"/>
          <w:szCs w:val="22"/>
        </w:rPr>
      </w:pPr>
      <w:r w:rsidRPr="004E6B46">
        <w:rPr>
          <w:rFonts w:ascii="Calibri" w:hAnsi="Calibri" w:cs="Calibri"/>
          <w:sz w:val="22"/>
          <w:szCs w:val="22"/>
        </w:rPr>
        <w:t xml:space="preserve">• </w:t>
      </w:r>
      <w:r w:rsidRPr="004E6B46">
        <w:rPr>
          <w:rFonts w:ascii="Calibri" w:hAnsi="Calibri" w:cs="Calibri"/>
          <w:iCs/>
          <w:sz w:val="22"/>
          <w:szCs w:val="22"/>
        </w:rPr>
        <w:t xml:space="preserve">Utilizing individualized, non-pharmacological approaches to care (e.g., purposeful and meaningful activities). Meaningful activities are those that address the resident’s customary routines, interests, preferences, and choices to enhance the resident’s well-being. </w:t>
      </w:r>
    </w:p>
    <w:p w14:paraId="71EC60BF" w14:textId="77777777" w:rsidR="004E6B46" w:rsidRPr="004E6B46" w:rsidRDefault="004E6B46" w:rsidP="004E6B46">
      <w:pPr>
        <w:pStyle w:val="Default"/>
        <w:ind w:left="720" w:hanging="360"/>
        <w:jc w:val="both"/>
        <w:rPr>
          <w:rFonts w:ascii="Calibri" w:hAnsi="Calibri" w:cs="Calibri"/>
          <w:sz w:val="22"/>
          <w:szCs w:val="22"/>
        </w:rPr>
      </w:pPr>
    </w:p>
    <w:p w14:paraId="0FB3F6CB" w14:textId="77777777" w:rsidR="004E6B46" w:rsidRDefault="004E6B46" w:rsidP="004E6B46">
      <w:pPr>
        <w:rPr>
          <w:rFonts w:ascii="Calibri" w:hAnsi="Calibri" w:cs="Calibri"/>
          <w:iCs/>
          <w:sz w:val="22"/>
          <w:szCs w:val="22"/>
        </w:rPr>
      </w:pPr>
      <w:r w:rsidRPr="004E6B46">
        <w:rPr>
          <w:rFonts w:ascii="Calibri" w:hAnsi="Calibri" w:cs="Calibri"/>
          <w:iCs/>
          <w:sz w:val="22"/>
          <w:szCs w:val="22"/>
        </w:rPr>
        <w:t xml:space="preserve">It is expected that a facility’s approach to care for a resident living with dementia follows a systematic care process. In order to ensure that residents’ individualized dementia care needs are met, the facility is expected to assess, develop, and implement care plans through an interdisciplinary team (IDT) approach that includes the resident, their family, and/or resident representative, to the extent possible. </w:t>
      </w:r>
    </w:p>
    <w:p w14:paraId="144870AE" w14:textId="47452D99" w:rsidR="004E6B46" w:rsidRPr="004E6B46" w:rsidRDefault="004E6B46" w:rsidP="004E6B46">
      <w:pPr>
        <w:rPr>
          <w:rFonts w:ascii="Calibri" w:hAnsi="Calibri" w:cs="Calibri"/>
          <w:iCs/>
          <w:sz w:val="22"/>
          <w:szCs w:val="22"/>
        </w:rPr>
      </w:pPr>
      <w:r w:rsidRPr="004E6B46">
        <w:rPr>
          <w:rFonts w:ascii="Calibri" w:hAnsi="Calibri" w:cs="Calibri"/>
          <w:iCs/>
          <w:sz w:val="22"/>
          <w:szCs w:val="22"/>
        </w:rPr>
        <w:t xml:space="preserve">Care plan goals must be </w:t>
      </w:r>
      <w:r w:rsidR="00A7694A" w:rsidRPr="004E6B46">
        <w:rPr>
          <w:rFonts w:ascii="Calibri" w:hAnsi="Calibri" w:cs="Calibri"/>
          <w:iCs/>
          <w:sz w:val="22"/>
          <w:szCs w:val="22"/>
        </w:rPr>
        <w:t>achievable,</w:t>
      </w:r>
      <w:r w:rsidRPr="004E6B46">
        <w:rPr>
          <w:rFonts w:ascii="Calibri" w:hAnsi="Calibri" w:cs="Calibri"/>
          <w:iCs/>
          <w:sz w:val="22"/>
          <w:szCs w:val="22"/>
        </w:rPr>
        <w:t xml:space="preserve"> and the facility must provide those resources necessary for an individual resident to be successful in reaching those goals. Surveyors must determine whether the failure to attain or maintain the highest practicable physical, mental, and psychosocial well-being (in accordance with the comprehensive assessment and care plan) was a</w:t>
      </w:r>
      <w:bookmarkStart w:id="1" w:name="_GoBack"/>
      <w:bookmarkEnd w:id="1"/>
      <w:r w:rsidRPr="004E6B46">
        <w:rPr>
          <w:rFonts w:ascii="Calibri" w:hAnsi="Calibri" w:cs="Calibri"/>
          <w:iCs/>
          <w:sz w:val="22"/>
          <w:szCs w:val="22"/>
        </w:rPr>
        <w:t>voidable or unavoidable. An unavoidable facility failure refers to a situation where the IDT has completed comprehensive assessments, developed and implemented individualized, person-centered approaches to care through the care-planning process, revised care plans accordingly, and residents are unable to attain or maintain their highest practicable physical, mental, and psychosocial well-being.</w:t>
      </w:r>
    </w:p>
    <w:p w14:paraId="629C1AB8" w14:textId="77777777" w:rsidR="004E6B46" w:rsidRDefault="004E6B46" w:rsidP="004E6B46">
      <w:pPr>
        <w:pStyle w:val="Default"/>
        <w:rPr>
          <w:rFonts w:ascii="Calibri" w:hAnsi="Calibri" w:cs="Calibri"/>
          <w:iCs/>
          <w:sz w:val="22"/>
          <w:szCs w:val="22"/>
        </w:rPr>
      </w:pPr>
    </w:p>
    <w:p w14:paraId="3A178F44" w14:textId="2EC55008" w:rsidR="004E6B46" w:rsidRPr="004E6B46" w:rsidRDefault="004E6B46" w:rsidP="004E6B46">
      <w:pPr>
        <w:pStyle w:val="Default"/>
        <w:rPr>
          <w:rFonts w:ascii="Calibri" w:hAnsi="Calibri" w:cs="Calibri"/>
          <w:iCs/>
          <w:sz w:val="22"/>
          <w:szCs w:val="22"/>
        </w:rPr>
      </w:pPr>
      <w:r w:rsidRPr="004E6B46">
        <w:rPr>
          <w:rFonts w:ascii="Calibri" w:hAnsi="Calibri" w:cs="Calibri"/>
          <w:iCs/>
          <w:sz w:val="22"/>
          <w:szCs w:val="22"/>
        </w:rPr>
        <w:lastRenderedPageBreak/>
        <w:t xml:space="preserve">Residents living with dementia require specialized services and supports, (e.g., specialized activities, nutrition, and environmental modifications) that vary, based on the individual’s abilities and challenges related to their condition. Dementia causes significant intellectual functioning impairments that interfere with life, including activities and relationships. People living with dementia may lose their ability to communicate, solve problems, and cope with stressors. They may also experience fear, confusion, sadness, and agitation. While memory loss is a common indication of dementia, memory loss by itself does not mean that a person has dementia. </w:t>
      </w:r>
    </w:p>
    <w:p w14:paraId="34DFE531" w14:textId="77777777" w:rsidR="004E6B46" w:rsidRPr="004E6B46" w:rsidRDefault="004E6B46" w:rsidP="004E6B46">
      <w:pPr>
        <w:pStyle w:val="Default"/>
        <w:rPr>
          <w:rFonts w:ascii="Calibri" w:hAnsi="Calibri" w:cs="Calibri"/>
          <w:sz w:val="22"/>
          <w:szCs w:val="22"/>
        </w:rPr>
      </w:pPr>
    </w:p>
    <w:p w14:paraId="0C685934" w14:textId="77777777" w:rsidR="004E6B46" w:rsidRPr="004E6B46" w:rsidRDefault="004E6B46" w:rsidP="004E6B46">
      <w:pPr>
        <w:pStyle w:val="Default"/>
        <w:rPr>
          <w:rFonts w:ascii="Calibri" w:hAnsi="Calibri" w:cs="Calibri"/>
          <w:iCs/>
          <w:sz w:val="22"/>
          <w:szCs w:val="22"/>
        </w:rPr>
      </w:pPr>
      <w:r w:rsidRPr="004E6B46">
        <w:rPr>
          <w:rFonts w:ascii="Calibri" w:hAnsi="Calibri" w:cs="Calibri"/>
          <w:iCs/>
          <w:sz w:val="22"/>
          <w:szCs w:val="22"/>
        </w:rPr>
        <w:t xml:space="preserve">Although it is common in very elderly individuals, dementia is not a normal part of the aging process. There are several diseases that can cause symptoms of dementia (e.g., Alzheimer’s disease, vascular dementia, Lewy body dementia). Other conditions can also cause dementia or dementia-like symptoms (including, e.g., reactions to medications, metabolic problems and endocrine abnormalities, nutritional deficiencies, and heart and lung problems). </w:t>
      </w:r>
    </w:p>
    <w:p w14:paraId="1A32CF8C" w14:textId="77777777" w:rsidR="004E6B46" w:rsidRPr="004E6B46" w:rsidRDefault="004E6B46" w:rsidP="004E6B46">
      <w:pPr>
        <w:pStyle w:val="Default"/>
        <w:rPr>
          <w:rFonts w:ascii="Calibri" w:hAnsi="Calibri" w:cs="Calibri"/>
          <w:sz w:val="22"/>
          <w:szCs w:val="22"/>
        </w:rPr>
      </w:pPr>
    </w:p>
    <w:p w14:paraId="2A50F56B" w14:textId="77777777" w:rsidR="004E6B46" w:rsidRPr="004E6B46" w:rsidRDefault="004E6B46" w:rsidP="004E6B46">
      <w:pPr>
        <w:pStyle w:val="Default"/>
        <w:rPr>
          <w:rFonts w:ascii="Calibri" w:hAnsi="Calibri" w:cs="Calibri"/>
          <w:iCs/>
          <w:sz w:val="22"/>
          <w:szCs w:val="22"/>
        </w:rPr>
      </w:pPr>
      <w:r w:rsidRPr="004E6B46">
        <w:rPr>
          <w:rFonts w:ascii="Calibri" w:hAnsi="Calibri" w:cs="Calibri"/>
          <w:iCs/>
          <w:sz w:val="22"/>
          <w:szCs w:val="22"/>
        </w:rPr>
        <w:t xml:space="preserve">Some individuals living with dementia may have co-existing symptoms, such as paranoia, delusions or hallucinations or psychiatric conditions, such as depression or bipolar affective disorder. Progressive dementia may exacerbate these symptoms and conditions. </w:t>
      </w:r>
    </w:p>
    <w:p w14:paraId="7EE3CF40" w14:textId="77777777" w:rsidR="004E6B46" w:rsidRPr="004E6B46" w:rsidRDefault="004E6B46" w:rsidP="004E6B46">
      <w:pPr>
        <w:pStyle w:val="Default"/>
        <w:rPr>
          <w:rFonts w:ascii="Calibri" w:hAnsi="Calibri" w:cs="Calibri"/>
          <w:sz w:val="22"/>
          <w:szCs w:val="22"/>
        </w:rPr>
      </w:pPr>
    </w:p>
    <w:p w14:paraId="0492D219" w14:textId="77777777" w:rsidR="004E6B46" w:rsidRPr="004E6B46" w:rsidRDefault="004E6B46" w:rsidP="004E6B46">
      <w:pPr>
        <w:rPr>
          <w:rFonts w:ascii="Calibri" w:hAnsi="Calibri" w:cs="Calibri"/>
          <w:iCs/>
          <w:sz w:val="22"/>
          <w:szCs w:val="22"/>
        </w:rPr>
      </w:pPr>
      <w:r w:rsidRPr="004E6B46">
        <w:rPr>
          <w:rFonts w:ascii="Calibri" w:hAnsi="Calibri" w:cs="Calibri"/>
          <w:iCs/>
          <w:sz w:val="22"/>
          <w:szCs w:val="22"/>
        </w:rPr>
        <w:t>Behavioral or psychological expressions are occasionally related to the brain disease in dementia; however, they may also be caused or exacerbated by environmental triggers. Such expressions or indications of distress often represent a person’s attempt to communicate an unmet need, discomfort, or thoughts that they can no longer articulate.</w:t>
      </w:r>
    </w:p>
    <w:p w14:paraId="1DC1E8AC" w14:textId="77777777" w:rsidR="004E6B46" w:rsidRDefault="004E6B46" w:rsidP="004E6B46">
      <w:pPr>
        <w:rPr>
          <w:rFonts w:ascii="Calibri" w:hAnsi="Calibri" w:cs="Calibri"/>
          <w:iCs/>
          <w:sz w:val="22"/>
          <w:szCs w:val="22"/>
        </w:rPr>
      </w:pPr>
    </w:p>
    <w:p w14:paraId="0F92C8B3" w14:textId="060F8DDC" w:rsidR="004E6B46" w:rsidRPr="004E6B46" w:rsidRDefault="004E6B46" w:rsidP="004E6B46">
      <w:pPr>
        <w:rPr>
          <w:rFonts w:ascii="Calibri" w:hAnsi="Calibri" w:cs="Calibri"/>
          <w:iCs/>
          <w:sz w:val="22"/>
          <w:szCs w:val="22"/>
        </w:rPr>
      </w:pPr>
      <w:r w:rsidRPr="004E6B46">
        <w:rPr>
          <w:rFonts w:ascii="Calibri" w:hAnsi="Calibri" w:cs="Calibri"/>
          <w:iCs/>
          <w:sz w:val="22"/>
          <w:szCs w:val="22"/>
        </w:rPr>
        <w:t>Medications may be unnecessary and are likely to cause harm when given without a clinical indication, at too high of a dose, for too long after the resident’s distress has been resolved, or if the medications are not monitored. However, medications may be effective when the underlying cause of a resident’s distress has been determined and non-pharmacologic approaches to care have been ineffective or for expressions of distress that have worsened. All approaches to care, non-pharmacological and pharmacological, need to be person-centered, monitored for efficacy, risks, benefits, and harm, and revised as necessary.”</w:t>
      </w:r>
      <w:r w:rsidRPr="004E6B46">
        <w:rPr>
          <w:rStyle w:val="FootnoteReference"/>
          <w:rFonts w:ascii="Calibri" w:hAnsi="Calibri" w:cs="Calibri"/>
          <w:iCs/>
          <w:sz w:val="22"/>
          <w:szCs w:val="22"/>
        </w:rPr>
        <w:footnoteReference w:id="2"/>
      </w:r>
    </w:p>
    <w:p w14:paraId="4C77C2BA" w14:textId="77777777" w:rsidR="004E6B46" w:rsidRDefault="004E6B46" w:rsidP="004E6B46">
      <w:pPr>
        <w:rPr>
          <w:rFonts w:ascii="Calibri" w:hAnsi="Calibri" w:cs="Calibri"/>
          <w:iCs/>
          <w:sz w:val="22"/>
          <w:szCs w:val="22"/>
        </w:rPr>
      </w:pPr>
    </w:p>
    <w:p w14:paraId="3814C401" w14:textId="77777777" w:rsidR="004E6B46" w:rsidRDefault="004E6B46">
      <w:pPr>
        <w:spacing w:after="160" w:line="259" w:lineRule="auto"/>
        <w:rPr>
          <w:rFonts w:ascii="Calibri" w:hAnsi="Calibri" w:cs="Calibri"/>
          <w:iCs/>
          <w:sz w:val="22"/>
          <w:szCs w:val="22"/>
        </w:rPr>
      </w:pPr>
      <w:r>
        <w:rPr>
          <w:rFonts w:ascii="Calibri" w:hAnsi="Calibri" w:cs="Calibri"/>
          <w:iCs/>
          <w:sz w:val="22"/>
          <w:szCs w:val="22"/>
        </w:rPr>
        <w:br w:type="page"/>
      </w:r>
    </w:p>
    <w:p w14:paraId="75F1FF02" w14:textId="77777777" w:rsidR="004E6B46" w:rsidRDefault="004E6B46" w:rsidP="004E6B46">
      <w:pPr>
        <w:rPr>
          <w:rFonts w:ascii="Calibri" w:hAnsi="Calibri" w:cs="Calibri"/>
          <w:iCs/>
          <w:sz w:val="22"/>
          <w:szCs w:val="22"/>
        </w:rPr>
      </w:pPr>
    </w:p>
    <w:p w14:paraId="0D2A36AC" w14:textId="0FB0351B" w:rsidR="004E6B46" w:rsidRPr="004E6B46" w:rsidRDefault="004E6B46" w:rsidP="004E6B46">
      <w:pPr>
        <w:rPr>
          <w:rFonts w:ascii="Calibri" w:hAnsi="Calibri" w:cs="Calibri"/>
          <w:iCs/>
          <w:sz w:val="22"/>
          <w:szCs w:val="22"/>
        </w:rPr>
      </w:pPr>
      <w:r w:rsidRPr="004E6B46">
        <w:rPr>
          <w:rFonts w:ascii="Calibri" w:hAnsi="Calibri" w:cs="Calibri"/>
          <w:iCs/>
          <w:sz w:val="22"/>
          <w:szCs w:val="22"/>
        </w:rPr>
        <w:t>F744 Dementia Care is a portion of the Behavioral Health Services Requirements of Participation.  Information regarding F740 – F743 and F745 are covered in a separate competency program.</w:t>
      </w:r>
    </w:p>
    <w:p w14:paraId="27802E71" w14:textId="1D0F473F" w:rsidR="004E6B46" w:rsidRDefault="004E6B46" w:rsidP="004E6B46">
      <w:pPr>
        <w:rPr>
          <w:rFonts w:ascii="Calibri" w:hAnsi="Calibri" w:cs="Calibri"/>
          <w:sz w:val="22"/>
          <w:szCs w:val="22"/>
        </w:rPr>
      </w:pPr>
      <w:r w:rsidRPr="004E6B46">
        <w:rPr>
          <w:rFonts w:ascii="Calibri" w:hAnsi="Calibri" w:cs="Calibri"/>
          <w:sz w:val="22"/>
          <w:szCs w:val="22"/>
        </w:rPr>
        <w:t>Organizational leaders will need to ensure competency of all staff members involved in the Dementia Care.  Adequate resources for the program will need to be evaluated using information from the Facility-Wide Resource Assessment including:</w:t>
      </w:r>
    </w:p>
    <w:p w14:paraId="6E2CEEFC" w14:textId="77777777" w:rsidR="0050099E" w:rsidRPr="004E6B46" w:rsidRDefault="0050099E" w:rsidP="004E6B46">
      <w:pPr>
        <w:rPr>
          <w:rFonts w:ascii="Calibri" w:hAnsi="Calibri" w:cs="Calibri"/>
          <w:sz w:val="22"/>
          <w:szCs w:val="22"/>
        </w:rPr>
      </w:pPr>
    </w:p>
    <w:p w14:paraId="7B82633D" w14:textId="77777777" w:rsidR="004E6B46" w:rsidRPr="004E6B46" w:rsidRDefault="004E6B46" w:rsidP="004E6B46">
      <w:pPr>
        <w:pStyle w:val="ListParagraph"/>
        <w:numPr>
          <w:ilvl w:val="0"/>
          <w:numId w:val="45"/>
        </w:numPr>
        <w:spacing w:after="160" w:line="256" w:lineRule="auto"/>
        <w:contextualSpacing/>
        <w:rPr>
          <w:rFonts w:ascii="Calibri" w:hAnsi="Calibri" w:cs="Calibri"/>
          <w:sz w:val="22"/>
          <w:szCs w:val="22"/>
        </w:rPr>
      </w:pPr>
      <w:r w:rsidRPr="004E6B46">
        <w:rPr>
          <w:rFonts w:ascii="Calibri" w:hAnsi="Calibri" w:cs="Calibri"/>
          <w:sz w:val="22"/>
          <w:szCs w:val="22"/>
        </w:rPr>
        <w:t>Staff Resources</w:t>
      </w:r>
    </w:p>
    <w:p w14:paraId="54261238" w14:textId="77777777" w:rsidR="004E6B46" w:rsidRPr="004E6B46" w:rsidRDefault="004E6B46" w:rsidP="004E6B46">
      <w:pPr>
        <w:pStyle w:val="ListParagraph"/>
        <w:numPr>
          <w:ilvl w:val="1"/>
          <w:numId w:val="45"/>
        </w:numPr>
        <w:spacing w:after="160" w:line="256" w:lineRule="auto"/>
        <w:contextualSpacing/>
        <w:rPr>
          <w:rFonts w:ascii="Calibri" w:hAnsi="Calibri" w:cs="Calibri"/>
          <w:sz w:val="22"/>
          <w:szCs w:val="22"/>
        </w:rPr>
      </w:pPr>
      <w:r w:rsidRPr="004E6B46">
        <w:rPr>
          <w:rFonts w:ascii="Calibri" w:hAnsi="Calibri" w:cs="Calibri"/>
          <w:sz w:val="22"/>
          <w:szCs w:val="22"/>
        </w:rPr>
        <w:t>Licensed Nurses</w:t>
      </w:r>
    </w:p>
    <w:p w14:paraId="5395E04F" w14:textId="77777777" w:rsidR="004E6B46" w:rsidRPr="004E6B46" w:rsidRDefault="004E6B46" w:rsidP="004E6B46">
      <w:pPr>
        <w:pStyle w:val="ListParagraph"/>
        <w:numPr>
          <w:ilvl w:val="1"/>
          <w:numId w:val="45"/>
        </w:numPr>
        <w:spacing w:after="160" w:line="256" w:lineRule="auto"/>
        <w:contextualSpacing/>
        <w:rPr>
          <w:rFonts w:ascii="Calibri" w:hAnsi="Calibri" w:cs="Calibri"/>
          <w:sz w:val="22"/>
          <w:szCs w:val="22"/>
        </w:rPr>
      </w:pPr>
      <w:r w:rsidRPr="004E6B46">
        <w:rPr>
          <w:rFonts w:ascii="Calibri" w:hAnsi="Calibri" w:cs="Calibri"/>
          <w:sz w:val="22"/>
          <w:szCs w:val="22"/>
        </w:rPr>
        <w:t>CNAs</w:t>
      </w:r>
    </w:p>
    <w:p w14:paraId="37CB1B1B" w14:textId="77777777" w:rsidR="004E6B46" w:rsidRPr="004E6B46" w:rsidRDefault="004E6B46" w:rsidP="004E6B46">
      <w:pPr>
        <w:pStyle w:val="ListParagraph"/>
        <w:numPr>
          <w:ilvl w:val="1"/>
          <w:numId w:val="45"/>
        </w:numPr>
        <w:spacing w:after="160" w:line="256" w:lineRule="auto"/>
        <w:contextualSpacing/>
        <w:rPr>
          <w:rFonts w:ascii="Calibri" w:hAnsi="Calibri" w:cs="Calibri"/>
          <w:sz w:val="22"/>
          <w:szCs w:val="22"/>
        </w:rPr>
      </w:pPr>
      <w:r w:rsidRPr="004E6B46">
        <w:rPr>
          <w:rFonts w:ascii="Calibri" w:hAnsi="Calibri" w:cs="Calibri"/>
          <w:sz w:val="22"/>
          <w:szCs w:val="22"/>
        </w:rPr>
        <w:t>Social Services Staff</w:t>
      </w:r>
    </w:p>
    <w:p w14:paraId="05DB9D93" w14:textId="77777777" w:rsidR="004E6B46" w:rsidRPr="004E6B46" w:rsidRDefault="004E6B46" w:rsidP="004E6B46">
      <w:pPr>
        <w:pStyle w:val="ListParagraph"/>
        <w:numPr>
          <w:ilvl w:val="1"/>
          <w:numId w:val="45"/>
        </w:numPr>
        <w:spacing w:after="160" w:line="256" w:lineRule="auto"/>
        <w:contextualSpacing/>
        <w:rPr>
          <w:rFonts w:ascii="Calibri" w:hAnsi="Calibri" w:cs="Calibri"/>
          <w:sz w:val="22"/>
          <w:szCs w:val="22"/>
        </w:rPr>
      </w:pPr>
      <w:r w:rsidRPr="004E6B46">
        <w:rPr>
          <w:rFonts w:ascii="Calibri" w:hAnsi="Calibri" w:cs="Calibri"/>
          <w:sz w:val="22"/>
          <w:szCs w:val="22"/>
        </w:rPr>
        <w:t>Activities/Therapeutic Recreation Staff</w:t>
      </w:r>
    </w:p>
    <w:p w14:paraId="5538BDCF" w14:textId="77777777" w:rsidR="004E6B46" w:rsidRPr="004E6B46" w:rsidRDefault="004E6B46" w:rsidP="004E6B46">
      <w:pPr>
        <w:pStyle w:val="ListParagraph"/>
        <w:numPr>
          <w:ilvl w:val="0"/>
          <w:numId w:val="45"/>
        </w:numPr>
        <w:spacing w:after="160" w:line="256" w:lineRule="auto"/>
        <w:contextualSpacing/>
        <w:rPr>
          <w:rFonts w:ascii="Calibri" w:hAnsi="Calibri" w:cs="Calibri"/>
          <w:sz w:val="22"/>
          <w:szCs w:val="22"/>
        </w:rPr>
      </w:pPr>
      <w:r w:rsidRPr="004E6B46">
        <w:rPr>
          <w:rFonts w:ascii="Calibri" w:hAnsi="Calibri" w:cs="Calibri"/>
          <w:sz w:val="22"/>
          <w:szCs w:val="22"/>
        </w:rPr>
        <w:t>Documentation Considerations</w:t>
      </w:r>
    </w:p>
    <w:p w14:paraId="7CD68AE2" w14:textId="77777777" w:rsidR="004E6B46" w:rsidRPr="004E6B46" w:rsidRDefault="004E6B46" w:rsidP="004E6B46">
      <w:pPr>
        <w:pStyle w:val="ListParagraph"/>
        <w:numPr>
          <w:ilvl w:val="1"/>
          <w:numId w:val="45"/>
        </w:numPr>
        <w:spacing w:after="160" w:line="256" w:lineRule="auto"/>
        <w:contextualSpacing/>
        <w:rPr>
          <w:rFonts w:ascii="Calibri" w:hAnsi="Calibri" w:cs="Calibri"/>
          <w:sz w:val="22"/>
          <w:szCs w:val="22"/>
        </w:rPr>
      </w:pPr>
      <w:r w:rsidRPr="004E6B46">
        <w:rPr>
          <w:rFonts w:ascii="Calibri" w:hAnsi="Calibri" w:cs="Calibri"/>
          <w:sz w:val="22"/>
          <w:szCs w:val="22"/>
        </w:rPr>
        <w:t>Paper vs. Electronic</w:t>
      </w:r>
    </w:p>
    <w:p w14:paraId="4D9AF464" w14:textId="77777777" w:rsidR="004E6B46" w:rsidRPr="004E6B46" w:rsidRDefault="004E6B46" w:rsidP="004E6B46">
      <w:pPr>
        <w:pStyle w:val="ListParagraph"/>
        <w:numPr>
          <w:ilvl w:val="1"/>
          <w:numId w:val="45"/>
        </w:numPr>
        <w:spacing w:after="160" w:line="256" w:lineRule="auto"/>
        <w:contextualSpacing/>
        <w:rPr>
          <w:rFonts w:ascii="Calibri" w:hAnsi="Calibri" w:cs="Calibri"/>
          <w:sz w:val="22"/>
          <w:szCs w:val="22"/>
        </w:rPr>
      </w:pPr>
      <w:r w:rsidRPr="004E6B46">
        <w:rPr>
          <w:rFonts w:ascii="Calibri" w:hAnsi="Calibri" w:cs="Calibri"/>
          <w:sz w:val="22"/>
          <w:szCs w:val="22"/>
        </w:rPr>
        <w:t>Assessment/Evaluation forms</w:t>
      </w:r>
    </w:p>
    <w:p w14:paraId="4C9E7692" w14:textId="77777777" w:rsidR="004E6B46" w:rsidRPr="004E6B46" w:rsidRDefault="004E6B46" w:rsidP="004E6B46">
      <w:pPr>
        <w:pStyle w:val="ListParagraph"/>
        <w:numPr>
          <w:ilvl w:val="1"/>
          <w:numId w:val="45"/>
        </w:numPr>
        <w:spacing w:after="160" w:line="256" w:lineRule="auto"/>
        <w:contextualSpacing/>
        <w:rPr>
          <w:rFonts w:ascii="Calibri" w:hAnsi="Calibri" w:cs="Calibri"/>
          <w:sz w:val="22"/>
          <w:szCs w:val="22"/>
        </w:rPr>
      </w:pPr>
      <w:r w:rsidRPr="004E6B46">
        <w:rPr>
          <w:rFonts w:ascii="Calibri" w:hAnsi="Calibri" w:cs="Calibri"/>
          <w:sz w:val="22"/>
          <w:szCs w:val="22"/>
        </w:rPr>
        <w:t>Care planning</w:t>
      </w:r>
    </w:p>
    <w:p w14:paraId="76379B7F" w14:textId="77777777" w:rsidR="004E6B46" w:rsidRPr="004E6B46" w:rsidRDefault="004E6B46" w:rsidP="004E6B46">
      <w:pPr>
        <w:pStyle w:val="ListParagraph"/>
        <w:numPr>
          <w:ilvl w:val="0"/>
          <w:numId w:val="45"/>
        </w:numPr>
        <w:spacing w:after="160" w:line="256" w:lineRule="auto"/>
        <w:contextualSpacing/>
        <w:rPr>
          <w:rFonts w:ascii="Calibri" w:hAnsi="Calibri" w:cs="Calibri"/>
          <w:sz w:val="22"/>
          <w:szCs w:val="22"/>
        </w:rPr>
      </w:pPr>
      <w:r w:rsidRPr="004E6B46">
        <w:rPr>
          <w:rFonts w:ascii="Calibri" w:hAnsi="Calibri" w:cs="Calibri"/>
          <w:sz w:val="22"/>
          <w:szCs w:val="22"/>
        </w:rPr>
        <w:t>Education</w:t>
      </w:r>
    </w:p>
    <w:p w14:paraId="4E555CE2" w14:textId="77777777" w:rsidR="004E6B46" w:rsidRPr="004E6B46" w:rsidRDefault="004E6B46" w:rsidP="004E6B46">
      <w:pPr>
        <w:pStyle w:val="ListParagraph"/>
        <w:numPr>
          <w:ilvl w:val="1"/>
          <w:numId w:val="45"/>
        </w:numPr>
        <w:spacing w:after="160" w:line="256" w:lineRule="auto"/>
        <w:contextualSpacing/>
        <w:rPr>
          <w:rFonts w:ascii="Calibri" w:hAnsi="Calibri" w:cs="Calibri"/>
          <w:sz w:val="22"/>
          <w:szCs w:val="22"/>
        </w:rPr>
      </w:pPr>
      <w:r w:rsidRPr="004E6B46">
        <w:rPr>
          <w:rFonts w:ascii="Calibri" w:hAnsi="Calibri" w:cs="Calibri"/>
          <w:sz w:val="22"/>
          <w:szCs w:val="22"/>
        </w:rPr>
        <w:t>Communication</w:t>
      </w:r>
    </w:p>
    <w:p w14:paraId="3BD92CC8" w14:textId="77777777" w:rsidR="004E6B46" w:rsidRPr="004E6B46" w:rsidRDefault="004E6B46" w:rsidP="004E6B46">
      <w:pPr>
        <w:pStyle w:val="ListParagraph"/>
        <w:numPr>
          <w:ilvl w:val="1"/>
          <w:numId w:val="45"/>
        </w:numPr>
        <w:spacing w:after="160" w:line="256" w:lineRule="auto"/>
        <w:contextualSpacing/>
        <w:rPr>
          <w:rFonts w:ascii="Calibri" w:hAnsi="Calibri" w:cs="Calibri"/>
          <w:sz w:val="22"/>
          <w:szCs w:val="22"/>
        </w:rPr>
      </w:pPr>
      <w:r w:rsidRPr="004E6B46">
        <w:rPr>
          <w:rFonts w:ascii="Calibri" w:hAnsi="Calibri" w:cs="Calibri"/>
          <w:sz w:val="22"/>
          <w:szCs w:val="22"/>
        </w:rPr>
        <w:t>Assessment/Evaluation skills</w:t>
      </w:r>
    </w:p>
    <w:p w14:paraId="1597D6F7" w14:textId="77777777" w:rsidR="004E6B46" w:rsidRPr="004E6B46" w:rsidRDefault="004E6B46" w:rsidP="004E6B46">
      <w:pPr>
        <w:pStyle w:val="ListParagraph"/>
        <w:numPr>
          <w:ilvl w:val="1"/>
          <w:numId w:val="45"/>
        </w:numPr>
        <w:spacing w:after="160" w:line="256" w:lineRule="auto"/>
        <w:contextualSpacing/>
        <w:rPr>
          <w:rFonts w:ascii="Calibri" w:hAnsi="Calibri" w:cs="Calibri"/>
          <w:sz w:val="22"/>
          <w:szCs w:val="22"/>
        </w:rPr>
      </w:pPr>
      <w:r w:rsidRPr="004E6B46">
        <w:rPr>
          <w:rFonts w:ascii="Calibri" w:hAnsi="Calibri" w:cs="Calibri"/>
          <w:sz w:val="22"/>
          <w:szCs w:val="22"/>
        </w:rPr>
        <w:t>Recognizing changes in behavioral symptoms</w:t>
      </w:r>
    </w:p>
    <w:p w14:paraId="7D1E8131" w14:textId="77777777" w:rsidR="004E6B46" w:rsidRPr="004E6B46" w:rsidRDefault="004E6B46" w:rsidP="004E6B46">
      <w:pPr>
        <w:pStyle w:val="ListParagraph"/>
        <w:numPr>
          <w:ilvl w:val="1"/>
          <w:numId w:val="45"/>
        </w:numPr>
        <w:spacing w:after="160" w:line="256" w:lineRule="auto"/>
        <w:contextualSpacing/>
        <w:rPr>
          <w:rFonts w:ascii="Calibri" w:hAnsi="Calibri" w:cs="Calibri"/>
          <w:sz w:val="22"/>
          <w:szCs w:val="22"/>
        </w:rPr>
      </w:pPr>
      <w:r w:rsidRPr="004E6B46">
        <w:rPr>
          <w:rFonts w:ascii="Calibri" w:hAnsi="Calibri" w:cs="Calibri"/>
          <w:sz w:val="22"/>
          <w:szCs w:val="22"/>
        </w:rPr>
        <w:t>Disease-specific protocols</w:t>
      </w:r>
    </w:p>
    <w:p w14:paraId="164F2F3D" w14:textId="77777777" w:rsidR="004E6B46" w:rsidRPr="004E6B46" w:rsidRDefault="004E6B46" w:rsidP="004E6B46">
      <w:pPr>
        <w:pStyle w:val="ListParagraph"/>
        <w:numPr>
          <w:ilvl w:val="0"/>
          <w:numId w:val="45"/>
        </w:numPr>
        <w:spacing w:after="160" w:line="256" w:lineRule="auto"/>
        <w:contextualSpacing/>
        <w:rPr>
          <w:rFonts w:ascii="Calibri" w:hAnsi="Calibri" w:cs="Calibri"/>
          <w:sz w:val="22"/>
          <w:szCs w:val="22"/>
        </w:rPr>
      </w:pPr>
      <w:r w:rsidRPr="004E6B46">
        <w:rPr>
          <w:rFonts w:ascii="Calibri" w:hAnsi="Calibri" w:cs="Calibri"/>
          <w:sz w:val="22"/>
          <w:szCs w:val="22"/>
        </w:rPr>
        <w:t>Evaluation and Monitoring</w:t>
      </w:r>
    </w:p>
    <w:p w14:paraId="76D3E324" w14:textId="77777777" w:rsidR="004E6B46" w:rsidRPr="004E6B46" w:rsidRDefault="004E6B46" w:rsidP="004E6B46">
      <w:pPr>
        <w:pStyle w:val="ListParagraph"/>
        <w:numPr>
          <w:ilvl w:val="1"/>
          <w:numId w:val="45"/>
        </w:numPr>
        <w:spacing w:after="160" w:line="256" w:lineRule="auto"/>
        <w:contextualSpacing/>
        <w:rPr>
          <w:rFonts w:ascii="Calibri" w:hAnsi="Calibri" w:cs="Calibri"/>
          <w:sz w:val="22"/>
          <w:szCs w:val="22"/>
        </w:rPr>
      </w:pPr>
      <w:r w:rsidRPr="004E6B46">
        <w:rPr>
          <w:rFonts w:ascii="Calibri" w:hAnsi="Calibri" w:cs="Calibri"/>
          <w:sz w:val="22"/>
          <w:szCs w:val="22"/>
        </w:rPr>
        <w:t>Observations, Interviews, and Record Reviews</w:t>
      </w:r>
    </w:p>
    <w:p w14:paraId="39BDCDD2" w14:textId="77777777" w:rsidR="004E6B46" w:rsidRPr="004E6B46" w:rsidRDefault="004E6B46" w:rsidP="004E6B46">
      <w:pPr>
        <w:pStyle w:val="ListParagraph"/>
        <w:numPr>
          <w:ilvl w:val="1"/>
          <w:numId w:val="45"/>
        </w:numPr>
        <w:spacing w:after="160" w:line="256" w:lineRule="auto"/>
        <w:contextualSpacing/>
        <w:rPr>
          <w:rFonts w:ascii="Calibri" w:hAnsi="Calibri" w:cs="Calibri"/>
          <w:sz w:val="22"/>
          <w:szCs w:val="22"/>
        </w:rPr>
      </w:pPr>
      <w:r w:rsidRPr="004E6B46">
        <w:rPr>
          <w:rFonts w:ascii="Calibri" w:hAnsi="Calibri" w:cs="Calibri"/>
          <w:sz w:val="22"/>
          <w:szCs w:val="22"/>
        </w:rPr>
        <w:t>QAPI</w:t>
      </w:r>
    </w:p>
    <w:p w14:paraId="418DC0F0" w14:textId="77777777" w:rsidR="004E6B46" w:rsidRPr="004E6B46" w:rsidRDefault="004E6B46" w:rsidP="004E6B46">
      <w:pPr>
        <w:pStyle w:val="ListParagraph"/>
        <w:numPr>
          <w:ilvl w:val="0"/>
          <w:numId w:val="45"/>
        </w:numPr>
        <w:spacing w:after="160" w:line="256" w:lineRule="auto"/>
        <w:contextualSpacing/>
        <w:rPr>
          <w:rFonts w:ascii="Calibri" w:hAnsi="Calibri" w:cs="Calibri"/>
          <w:sz w:val="22"/>
          <w:szCs w:val="22"/>
        </w:rPr>
      </w:pPr>
      <w:r w:rsidRPr="004E6B46">
        <w:rPr>
          <w:rFonts w:ascii="Calibri" w:hAnsi="Calibri" w:cs="Calibri"/>
          <w:sz w:val="22"/>
          <w:szCs w:val="22"/>
        </w:rPr>
        <w:t xml:space="preserve">Supplies and Equipment, </w:t>
      </w:r>
      <w:r w:rsidRPr="004E6B46">
        <w:rPr>
          <w:rFonts w:ascii="Calibri" w:hAnsi="Calibri" w:cs="Calibri"/>
          <w:i/>
          <w:sz w:val="22"/>
          <w:szCs w:val="22"/>
        </w:rPr>
        <w:t>Etc.</w:t>
      </w:r>
    </w:p>
    <w:p w14:paraId="762F943F" w14:textId="77777777" w:rsidR="004E6B46" w:rsidRPr="004E6B46" w:rsidRDefault="004E6B46" w:rsidP="004E6B46">
      <w:pPr>
        <w:pStyle w:val="ListParagraph"/>
        <w:numPr>
          <w:ilvl w:val="1"/>
          <w:numId w:val="45"/>
        </w:numPr>
        <w:spacing w:after="160" w:line="256" w:lineRule="auto"/>
        <w:contextualSpacing/>
        <w:rPr>
          <w:rFonts w:ascii="Calibri" w:hAnsi="Calibri" w:cs="Calibri"/>
          <w:sz w:val="22"/>
          <w:szCs w:val="22"/>
        </w:rPr>
      </w:pPr>
      <w:r w:rsidRPr="004E6B46">
        <w:rPr>
          <w:rFonts w:ascii="Calibri" w:hAnsi="Calibri" w:cs="Calibri"/>
          <w:sz w:val="22"/>
          <w:szCs w:val="22"/>
        </w:rPr>
        <w:t>Activities/Therapeutic Recreation</w:t>
      </w:r>
    </w:p>
    <w:p w14:paraId="1A5725A8" w14:textId="77777777" w:rsidR="004E6B46" w:rsidRPr="004E6B46" w:rsidRDefault="004E6B46" w:rsidP="004E6B46">
      <w:pPr>
        <w:pStyle w:val="ListParagraph"/>
        <w:numPr>
          <w:ilvl w:val="1"/>
          <w:numId w:val="45"/>
        </w:numPr>
        <w:spacing w:after="160" w:line="256" w:lineRule="auto"/>
        <w:contextualSpacing/>
        <w:rPr>
          <w:rFonts w:ascii="Calibri" w:hAnsi="Calibri" w:cs="Calibri"/>
          <w:sz w:val="22"/>
          <w:szCs w:val="22"/>
        </w:rPr>
      </w:pPr>
      <w:r w:rsidRPr="004E6B46">
        <w:rPr>
          <w:rFonts w:ascii="Calibri" w:hAnsi="Calibri" w:cs="Calibri"/>
          <w:sz w:val="22"/>
          <w:szCs w:val="22"/>
        </w:rPr>
        <w:t>Physicians, Physician extenders, Psychologists, Pharmacists</w:t>
      </w:r>
    </w:p>
    <w:p w14:paraId="0F004CA4" w14:textId="77777777" w:rsidR="0050099E" w:rsidRPr="0050099E" w:rsidRDefault="0050099E" w:rsidP="0050099E">
      <w:pPr>
        <w:spacing w:line="259" w:lineRule="auto"/>
        <w:rPr>
          <w:rFonts w:asciiTheme="minorHAnsi" w:hAnsiTheme="minorHAnsi" w:cstheme="minorHAnsi"/>
          <w:b/>
          <w:sz w:val="22"/>
          <w:szCs w:val="22"/>
        </w:rPr>
      </w:pPr>
      <w:r w:rsidRPr="0050099E">
        <w:rPr>
          <w:rFonts w:asciiTheme="minorHAnsi" w:hAnsiTheme="minorHAnsi" w:cstheme="minorHAnsi"/>
          <w:b/>
          <w:sz w:val="22"/>
          <w:szCs w:val="22"/>
        </w:rPr>
        <w:t>Resources:</w:t>
      </w:r>
    </w:p>
    <w:p w14:paraId="1988DAD0" w14:textId="77777777" w:rsidR="0050099E" w:rsidRPr="0050099E" w:rsidRDefault="0050099E" w:rsidP="0050099E">
      <w:pPr>
        <w:spacing w:line="259" w:lineRule="auto"/>
        <w:rPr>
          <w:rFonts w:asciiTheme="minorHAnsi" w:hAnsiTheme="minorHAnsi" w:cstheme="minorHAnsi"/>
          <w:sz w:val="22"/>
          <w:szCs w:val="22"/>
        </w:rPr>
      </w:pPr>
    </w:p>
    <w:p w14:paraId="323F2FFC" w14:textId="77777777" w:rsidR="0050099E" w:rsidRPr="0050099E" w:rsidRDefault="0050099E" w:rsidP="0050099E">
      <w:pPr>
        <w:pStyle w:val="ListParagraph"/>
        <w:numPr>
          <w:ilvl w:val="0"/>
          <w:numId w:val="38"/>
        </w:numPr>
        <w:contextualSpacing/>
        <w:rPr>
          <w:rFonts w:asciiTheme="minorHAnsi" w:hAnsiTheme="minorHAnsi" w:cstheme="minorHAnsi"/>
          <w:sz w:val="22"/>
          <w:szCs w:val="22"/>
        </w:rPr>
      </w:pPr>
      <w:r w:rsidRPr="0050099E">
        <w:rPr>
          <w:rFonts w:asciiTheme="minorHAnsi" w:eastAsia="MS Mincho" w:hAnsiTheme="minorHAnsi" w:cstheme="minorHAnsi"/>
          <w:sz w:val="22"/>
          <w:szCs w:val="22"/>
        </w:rPr>
        <w:t xml:space="preserve">Centers for Medicare &amp; Medicaid Services State Operations Manual, Appendix PP – Guidance to Surveyors for Long Term Care Facilities (Rev. 173, 11-22-17):  </w:t>
      </w:r>
      <w:hyperlink r:id="rId8" w:history="1">
        <w:r w:rsidRPr="0050099E">
          <w:rPr>
            <w:rFonts w:asciiTheme="minorHAnsi" w:eastAsia="MS Mincho" w:hAnsiTheme="minorHAnsi" w:cstheme="minorHAnsi"/>
            <w:color w:val="0563C1" w:themeColor="hyperlink"/>
            <w:sz w:val="22"/>
            <w:szCs w:val="22"/>
            <w:u w:val="single"/>
          </w:rPr>
          <w:t>https://www.cms.gov/Regulations-and-Guidance/Guidance/Manuals/downloads/som107ap_pp_guidelines_ltcf.pdf</w:t>
        </w:r>
      </w:hyperlink>
    </w:p>
    <w:p w14:paraId="3D20A8E5" w14:textId="77777777" w:rsidR="0050099E" w:rsidRPr="0050099E" w:rsidRDefault="0050099E" w:rsidP="0050099E">
      <w:pPr>
        <w:pStyle w:val="ListParagraph"/>
        <w:rPr>
          <w:rFonts w:asciiTheme="minorHAnsi" w:hAnsiTheme="minorHAnsi" w:cstheme="minorHAnsi"/>
          <w:sz w:val="22"/>
          <w:szCs w:val="22"/>
        </w:rPr>
      </w:pPr>
    </w:p>
    <w:p w14:paraId="28FC2492" w14:textId="15A5530F" w:rsidR="0050099E" w:rsidRPr="0050099E" w:rsidRDefault="0050099E" w:rsidP="0050099E">
      <w:pPr>
        <w:pStyle w:val="ListParagraph"/>
        <w:numPr>
          <w:ilvl w:val="0"/>
          <w:numId w:val="38"/>
        </w:numPr>
        <w:contextualSpacing/>
        <w:rPr>
          <w:rStyle w:val="Hyperlink"/>
          <w:rFonts w:asciiTheme="minorHAnsi" w:hAnsiTheme="minorHAnsi" w:cstheme="minorHAnsi"/>
          <w:sz w:val="22"/>
          <w:szCs w:val="22"/>
        </w:rPr>
      </w:pPr>
      <w:r w:rsidRPr="0050099E">
        <w:rPr>
          <w:rFonts w:asciiTheme="minorHAnsi" w:hAnsiTheme="minorHAnsi" w:cstheme="minorHAnsi"/>
          <w:sz w:val="22"/>
          <w:szCs w:val="22"/>
        </w:rPr>
        <w:t xml:space="preserve">Centers for Medicare and Medicaid Services, </w:t>
      </w:r>
      <w:r>
        <w:rPr>
          <w:rFonts w:asciiTheme="minorHAnsi" w:hAnsiTheme="minorHAnsi" w:cstheme="minorHAnsi"/>
          <w:sz w:val="22"/>
          <w:szCs w:val="22"/>
        </w:rPr>
        <w:t xml:space="preserve">Dementia Care Critical Element Pathway, </w:t>
      </w:r>
      <w:r w:rsidRPr="0050099E">
        <w:rPr>
          <w:rFonts w:asciiTheme="minorHAnsi" w:hAnsiTheme="minorHAnsi" w:cstheme="minorHAnsi"/>
          <w:sz w:val="22"/>
          <w:szCs w:val="22"/>
        </w:rPr>
        <w:t>Form CMS-</w:t>
      </w:r>
      <w:r>
        <w:rPr>
          <w:rFonts w:asciiTheme="minorHAnsi" w:hAnsiTheme="minorHAnsi" w:cstheme="minorHAnsi"/>
          <w:sz w:val="22"/>
          <w:szCs w:val="22"/>
        </w:rPr>
        <w:t xml:space="preserve"> 20133 (5/2017):  </w:t>
      </w:r>
      <w:hyperlink r:id="rId9" w:history="1">
        <w:r w:rsidRPr="00E93C03">
          <w:rPr>
            <w:rStyle w:val="Hyperlink"/>
            <w:rFonts w:asciiTheme="minorHAnsi" w:hAnsiTheme="minorHAnsi" w:cstheme="minorHAnsi"/>
            <w:sz w:val="22"/>
            <w:szCs w:val="22"/>
          </w:rPr>
          <w:t>https://www.cms.gov/Medicare/Provider-Enrollment-and-Certification/GuidanceforLawsAndRegulations/Nursing-Homes.html</w:t>
        </w:r>
      </w:hyperlink>
    </w:p>
    <w:p w14:paraId="6F859E29" w14:textId="77777777" w:rsidR="00AD3219" w:rsidRPr="004E6B46" w:rsidRDefault="00AD3219" w:rsidP="004E6B46">
      <w:pPr>
        <w:rPr>
          <w:rFonts w:ascii="Calibri" w:hAnsi="Calibri" w:cs="Calibri"/>
          <w:sz w:val="22"/>
          <w:szCs w:val="22"/>
        </w:rPr>
      </w:pPr>
    </w:p>
    <w:sectPr w:rsidR="00AD3219" w:rsidRPr="004E6B46" w:rsidSect="00DE7AF9">
      <w:headerReference w:type="even" r:id="rId10"/>
      <w:headerReference w:type="default" r:id="rId11"/>
      <w:footerReference w:type="even" r:id="rId12"/>
      <w:footerReference w:type="default" r:id="rId13"/>
      <w:headerReference w:type="first" r:id="rId14"/>
      <w:footerReference w:type="first" r:id="rId15"/>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5B58E" w14:textId="77777777" w:rsidR="00B011E2" w:rsidRDefault="00B011E2" w:rsidP="00FE158D">
      <w:r>
        <w:separator/>
      </w:r>
    </w:p>
  </w:endnote>
  <w:endnote w:type="continuationSeparator" w:id="0">
    <w:p w14:paraId="242A0E68" w14:textId="77777777" w:rsidR="00B011E2" w:rsidRDefault="00B011E2"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DEAE9" w14:textId="77777777" w:rsidR="00B011E2" w:rsidRDefault="00B011E2" w:rsidP="00FE158D">
      <w:r>
        <w:separator/>
      </w:r>
    </w:p>
  </w:footnote>
  <w:footnote w:type="continuationSeparator" w:id="0">
    <w:p w14:paraId="10876EA5" w14:textId="77777777" w:rsidR="00B011E2" w:rsidRDefault="00B011E2" w:rsidP="00FE158D">
      <w:r>
        <w:continuationSeparator/>
      </w:r>
    </w:p>
  </w:footnote>
  <w:footnote w:id="1">
    <w:p w14:paraId="261E5615" w14:textId="41403309" w:rsidR="0050099E" w:rsidRPr="00024711" w:rsidRDefault="0050099E" w:rsidP="0050099E">
      <w:pPr>
        <w:rPr>
          <w:rFonts w:ascii="Cambria" w:eastAsia="MS Mincho" w:hAnsi="Cambria"/>
          <w:sz w:val="20"/>
        </w:rPr>
      </w:pPr>
      <w:r>
        <w:rPr>
          <w:rStyle w:val="FootnoteReference"/>
        </w:rPr>
        <w:footnoteRef/>
      </w:r>
      <w:bookmarkStart w:id="0" w:name="_Hlk1221526"/>
      <w:r>
        <w:t xml:space="preserve">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1" w:history="1">
        <w:r w:rsidRPr="00024711">
          <w:rPr>
            <w:rFonts w:ascii="Cambria" w:eastAsia="MS Mincho" w:hAnsi="Cambria"/>
            <w:color w:val="0563C1" w:themeColor="hyperlink"/>
            <w:sz w:val="20"/>
            <w:u w:val="single"/>
          </w:rPr>
          <w:t>https://www.cms.gov/Regulations-and-Guidance/Guidance/Manuals/downloads/som107ap_pp_guidelines_ltcf.pdf</w:t>
        </w:r>
      </w:hyperlink>
    </w:p>
    <w:bookmarkEnd w:id="0"/>
    <w:p w14:paraId="0C6FA9F6" w14:textId="249FD2E1" w:rsidR="0050099E" w:rsidRDefault="0050099E">
      <w:pPr>
        <w:pStyle w:val="FootnoteText"/>
      </w:pPr>
    </w:p>
  </w:footnote>
  <w:footnote w:id="2">
    <w:p w14:paraId="56F2AB6C" w14:textId="5A557FA8" w:rsidR="0050099E" w:rsidRPr="00024711" w:rsidRDefault="0050099E" w:rsidP="0050099E">
      <w:pPr>
        <w:rPr>
          <w:rFonts w:ascii="Cambria" w:eastAsia="MS Mincho" w:hAnsi="Cambria"/>
          <w:sz w:val="20"/>
        </w:rPr>
      </w:pPr>
      <w:r>
        <w:rPr>
          <w:sz w:val="20"/>
          <w:vertAlign w:val="superscript"/>
        </w:rPr>
        <w:t>2</w:t>
      </w:r>
      <w:r w:rsidRPr="00024711">
        <w:rPr>
          <w:sz w:val="20"/>
        </w:rPr>
        <w:t xml:space="preserve">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2"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3901E154" w14:textId="77777777" w:rsidR="004E6B46" w:rsidRDefault="004E6B46" w:rsidP="004E6B4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EE265A"/>
    <w:multiLevelType w:val="hybridMultilevel"/>
    <w:tmpl w:val="63A088DE"/>
    <w:lvl w:ilvl="0" w:tplc="5FA828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6380D"/>
    <w:multiLevelType w:val="hybridMultilevel"/>
    <w:tmpl w:val="A09A9F1E"/>
    <w:lvl w:ilvl="0" w:tplc="91FC13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302E8"/>
    <w:multiLevelType w:val="hybridMultilevel"/>
    <w:tmpl w:val="6A9A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8"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1BD44B14"/>
    <w:multiLevelType w:val="hybridMultilevel"/>
    <w:tmpl w:val="FB1AC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1"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28B32377"/>
    <w:multiLevelType w:val="hybridMultilevel"/>
    <w:tmpl w:val="78863796"/>
    <w:lvl w:ilvl="0" w:tplc="2D08E56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94449BA"/>
    <w:multiLevelType w:val="hybridMultilevel"/>
    <w:tmpl w:val="35A4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0"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4"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0"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6A8D74ED"/>
    <w:multiLevelType w:val="hybridMultilevel"/>
    <w:tmpl w:val="13646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976BD8"/>
    <w:multiLevelType w:val="hybridMultilevel"/>
    <w:tmpl w:val="0114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5" w15:restartNumberingAfterBreak="0">
    <w:nsid w:val="78522C07"/>
    <w:multiLevelType w:val="hybridMultilevel"/>
    <w:tmpl w:val="8D36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8"/>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37"/>
  </w:num>
  <w:num w:numId="24">
    <w:abstractNumId w:val="15"/>
  </w:num>
  <w:num w:numId="25">
    <w:abstractNumId w:val="25"/>
  </w:num>
  <w:num w:numId="26">
    <w:abstractNumId w:val="21"/>
  </w:num>
  <w:num w:numId="27">
    <w:abstractNumId w:val="26"/>
  </w:num>
  <w:num w:numId="28">
    <w:abstractNumId w:val="13"/>
  </w:num>
  <w:num w:numId="29">
    <w:abstractNumId w:val="30"/>
  </w:num>
  <w:num w:numId="30">
    <w:abstractNumId w:val="28"/>
  </w:num>
  <w:num w:numId="31">
    <w:abstractNumId w:val="42"/>
  </w:num>
  <w:num w:numId="32">
    <w:abstractNumId w:val="31"/>
  </w:num>
  <w:num w:numId="33">
    <w:abstractNumId w:val="1"/>
  </w:num>
  <w:num w:numId="34">
    <w:abstractNumId w:val="34"/>
  </w:num>
  <w:num w:numId="35">
    <w:abstractNumId w:val="12"/>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18"/>
  </w:num>
  <w:num w:numId="39">
    <w:abstractNumId w:val="4"/>
  </w:num>
  <w:num w:numId="40">
    <w:abstractNumId w:val="3"/>
  </w:num>
  <w:num w:numId="41">
    <w:abstractNumId w:val="6"/>
  </w:num>
  <w:num w:numId="42">
    <w:abstractNumId w:val="45"/>
  </w:num>
  <w:num w:numId="43">
    <w:abstractNumId w:val="39"/>
  </w:num>
  <w:num w:numId="44">
    <w:abstractNumId w:val="41"/>
  </w:num>
  <w:num w:numId="45">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F07"/>
    <w:rsid w:val="00066D50"/>
    <w:rsid w:val="000D5B62"/>
    <w:rsid w:val="000E228A"/>
    <w:rsid w:val="000F08A2"/>
    <w:rsid w:val="000F7E90"/>
    <w:rsid w:val="0012309D"/>
    <w:rsid w:val="00170AD2"/>
    <w:rsid w:val="00185739"/>
    <w:rsid w:val="001E4C9D"/>
    <w:rsid w:val="002376A2"/>
    <w:rsid w:val="00257E7E"/>
    <w:rsid w:val="0027488D"/>
    <w:rsid w:val="002B6A29"/>
    <w:rsid w:val="002C5F29"/>
    <w:rsid w:val="002F2B8A"/>
    <w:rsid w:val="003011C7"/>
    <w:rsid w:val="00301AA8"/>
    <w:rsid w:val="00372DF7"/>
    <w:rsid w:val="00373CF0"/>
    <w:rsid w:val="003A3E8D"/>
    <w:rsid w:val="003B0939"/>
    <w:rsid w:val="003D1AFC"/>
    <w:rsid w:val="003F0C77"/>
    <w:rsid w:val="00484844"/>
    <w:rsid w:val="004C2F6B"/>
    <w:rsid w:val="004E6B46"/>
    <w:rsid w:val="004E7603"/>
    <w:rsid w:val="0050099E"/>
    <w:rsid w:val="00534CAA"/>
    <w:rsid w:val="0053732B"/>
    <w:rsid w:val="005438CB"/>
    <w:rsid w:val="00593E4B"/>
    <w:rsid w:val="005C3CE2"/>
    <w:rsid w:val="005F036A"/>
    <w:rsid w:val="006034EC"/>
    <w:rsid w:val="00603AC0"/>
    <w:rsid w:val="00605605"/>
    <w:rsid w:val="00610027"/>
    <w:rsid w:val="006338B1"/>
    <w:rsid w:val="006579E1"/>
    <w:rsid w:val="00667EDF"/>
    <w:rsid w:val="006A3CC2"/>
    <w:rsid w:val="006B2ED2"/>
    <w:rsid w:val="007251EF"/>
    <w:rsid w:val="00783084"/>
    <w:rsid w:val="007A61F1"/>
    <w:rsid w:val="007F26C3"/>
    <w:rsid w:val="00805910"/>
    <w:rsid w:val="008259FB"/>
    <w:rsid w:val="008805AE"/>
    <w:rsid w:val="008E7224"/>
    <w:rsid w:val="00904698"/>
    <w:rsid w:val="009073EC"/>
    <w:rsid w:val="009478FB"/>
    <w:rsid w:val="00951B77"/>
    <w:rsid w:val="009B7479"/>
    <w:rsid w:val="009C106D"/>
    <w:rsid w:val="009C583E"/>
    <w:rsid w:val="009F0488"/>
    <w:rsid w:val="00A039B0"/>
    <w:rsid w:val="00A25232"/>
    <w:rsid w:val="00A7694A"/>
    <w:rsid w:val="00A9460A"/>
    <w:rsid w:val="00AB677E"/>
    <w:rsid w:val="00AC0FC3"/>
    <w:rsid w:val="00AD3219"/>
    <w:rsid w:val="00B011E2"/>
    <w:rsid w:val="00B019EA"/>
    <w:rsid w:val="00B24FB4"/>
    <w:rsid w:val="00B576FB"/>
    <w:rsid w:val="00BB507F"/>
    <w:rsid w:val="00BF1EB5"/>
    <w:rsid w:val="00C0102E"/>
    <w:rsid w:val="00C170A5"/>
    <w:rsid w:val="00C42B78"/>
    <w:rsid w:val="00C70196"/>
    <w:rsid w:val="00C71D53"/>
    <w:rsid w:val="00DB6D68"/>
    <w:rsid w:val="00DC40AB"/>
    <w:rsid w:val="00DE7AF9"/>
    <w:rsid w:val="00E42992"/>
    <w:rsid w:val="00E67C87"/>
    <w:rsid w:val="00E67E7C"/>
    <w:rsid w:val="00E94EC6"/>
    <w:rsid w:val="00ED6153"/>
    <w:rsid w:val="00EF0A00"/>
    <w:rsid w:val="00FB157C"/>
    <w:rsid w:val="00FC03F0"/>
    <w:rsid w:val="00FE0022"/>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0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gov/Medicare/Provider-Enrollment-and-Certification/GuidanceforLawsAndRegulations/Nursing-Homes.htm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cms.gov/Regulations-and-Guidance/Guidance/Manuals/downloads/som107ap_pp_guidelines_ltcf.pdf" TargetMode="External"/><Relationship Id="rId1"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16338-3F72-4788-AD59-41367B62F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5</cp:revision>
  <dcterms:created xsi:type="dcterms:W3CDTF">2019-04-12T17:22:00Z</dcterms:created>
  <dcterms:modified xsi:type="dcterms:W3CDTF">2019-05-08T18:57:00Z</dcterms:modified>
</cp:coreProperties>
</file>