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F9" w:rsidRPr="00DE75EB" w:rsidRDefault="00301AA8" w:rsidP="00BB507F">
      <w:pPr>
        <w:jc w:val="center"/>
        <w:rPr>
          <w:rFonts w:asciiTheme="minorHAnsi" w:hAnsiTheme="minorHAnsi"/>
          <w:b/>
          <w:sz w:val="32"/>
        </w:rPr>
      </w:pPr>
      <w:r w:rsidRPr="00DE75EB">
        <w:rPr>
          <w:rFonts w:asciiTheme="minorHAnsi" w:hAnsiTheme="minorHAnsi"/>
          <w:b/>
          <w:noProof/>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914400</wp:posOffset>
                </wp:positionV>
                <wp:extent cx="5943600" cy="2628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3593" w:rsidRDefault="00F73593" w:rsidP="00DE75EB">
                            <w:pPr>
                              <w:jc w:val="center"/>
                              <w:rPr>
                                <w:rFonts w:ascii="Calibri" w:hAnsi="Calibri"/>
                                <w:color w:val="FFFFFF" w:themeColor="background1"/>
                                <w:sz w:val="72"/>
                              </w:rPr>
                            </w:pPr>
                            <w:r>
                              <w:rPr>
                                <w:rFonts w:ascii="Calibri" w:hAnsi="Calibri"/>
                                <w:color w:val="FFFFFF" w:themeColor="background1"/>
                                <w:sz w:val="72"/>
                              </w:rPr>
                              <w:t>Emergency Preparedness</w:t>
                            </w:r>
                          </w:p>
                          <w:p w:rsidR="00533E95" w:rsidRPr="004A6490" w:rsidRDefault="000E34EC" w:rsidP="00DE75EB">
                            <w:pPr>
                              <w:jc w:val="center"/>
                              <w:rPr>
                                <w:rFonts w:ascii="Calibri" w:hAnsi="Calibri"/>
                                <w:color w:val="FFFFFF" w:themeColor="background1"/>
                                <w:sz w:val="72"/>
                              </w:rPr>
                            </w:pPr>
                            <w:r>
                              <w:rPr>
                                <w:rFonts w:ascii="Calibri" w:hAnsi="Calibri"/>
                                <w:color w:val="FFFFFF" w:themeColor="background1"/>
                                <w:sz w:val="72"/>
                              </w:rPr>
                              <w:t xml:space="preserve">Overview: </w:t>
                            </w:r>
                            <w:r w:rsidR="00F73593">
                              <w:rPr>
                                <w:rFonts w:ascii="Calibri" w:hAnsi="Calibri"/>
                                <w:color w:val="FFFFFF" w:themeColor="background1"/>
                                <w:sz w:val="72"/>
                              </w:rPr>
                              <w:t>Risk Assessment and Emergency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in;width:468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" filled="f" stroked="f" strokeweight=".5pt">
                <v:textbox>
                  <w:txbxContent>
                    <w:p w:rsidR="00F73593" w:rsidRDefault="00F73593" w:rsidP="00DE75EB">
                      <w:pPr>
                        <w:jc w:val="center"/>
                        <w:rPr>
                          <w:rFonts w:ascii="Calibri" w:hAnsi="Calibri"/>
                          <w:color w:val="FFFFFF" w:themeColor="background1"/>
                          <w:sz w:val="72"/>
                        </w:rPr>
                      </w:pPr>
                      <w:r>
                        <w:rPr>
                          <w:rFonts w:ascii="Calibri" w:hAnsi="Calibri"/>
                          <w:color w:val="FFFFFF" w:themeColor="background1"/>
                          <w:sz w:val="72"/>
                        </w:rPr>
                        <w:t>Emergency Preparedness</w:t>
                      </w:r>
                    </w:p>
                    <w:p w:rsidR="00533E95" w:rsidRPr="004A6490" w:rsidRDefault="000E34EC" w:rsidP="00DE75EB">
                      <w:pPr>
                        <w:jc w:val="center"/>
                        <w:rPr>
                          <w:rFonts w:ascii="Calibri" w:hAnsi="Calibri"/>
                          <w:color w:val="FFFFFF" w:themeColor="background1"/>
                          <w:sz w:val="72"/>
                        </w:rPr>
                      </w:pPr>
                      <w:r>
                        <w:rPr>
                          <w:rFonts w:ascii="Calibri" w:hAnsi="Calibri"/>
                          <w:color w:val="FFFFFF" w:themeColor="background1"/>
                          <w:sz w:val="72"/>
                        </w:rPr>
                        <w:t xml:space="preserve">Overview: </w:t>
                      </w:r>
                      <w:r w:rsidR="00F73593">
                        <w:rPr>
                          <w:rFonts w:ascii="Calibri" w:hAnsi="Calibri"/>
                          <w:color w:val="FFFFFF" w:themeColor="background1"/>
                          <w:sz w:val="72"/>
                        </w:rPr>
                        <w:t>Risk Assessment and Emergency Planning</w:t>
                      </w:r>
                    </w:p>
                  </w:txbxContent>
                </v:textbox>
                <w10:wrap anchory="page"/>
              </v:shape>
            </w:pict>
          </mc:Fallback>
        </mc:AlternateContent>
      </w:r>
    </w:p>
    <w:p w:rsidR="00E410E3" w:rsidRPr="00DE75EB" w:rsidRDefault="00605605" w:rsidP="00157499">
      <w:pPr>
        <w:jc w:val="center"/>
        <w:textAlignment w:val="baseline"/>
        <w:rPr>
          <w:rFonts w:asciiTheme="minorHAnsi" w:hAnsiTheme="minorHAnsi"/>
          <w:b/>
          <w:sz w:val="32"/>
        </w:rPr>
      </w:pPr>
      <w:r w:rsidRPr="00DE75EB">
        <w:rPr>
          <w:rFonts w:asciiTheme="minorHAnsi" w:hAnsiTheme="minorHAnsi"/>
          <w:b/>
          <w:noProof/>
          <w:sz w:val="32"/>
        </w:rPr>
        <mc:AlternateContent>
          <mc:Choice Requires="wps">
            <w:drawing>
              <wp:anchor distT="0" distB="0" distL="114300" distR="114300" simplePos="0" relativeHeight="251662336" behindDoc="0" locked="0" layoutInCell="1" allowOverlap="1" wp14:anchorId="1A567F58" wp14:editId="0360162F">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334" w:rsidRDefault="00025334"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025334" w:rsidRPr="00605605" w:rsidRDefault="00025334"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67F58" id="Text Box 1" o:spid="_x0000_s1027" type="#_x0000_t202" style="position:absolute;left:0;text-align:left;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SfgIAAGk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" filled="f" stroked="f" strokeweight=".5pt">
                <v:textbox>
                  <w:txbxContent>
                    <w:p w:rsidR="00025334" w:rsidRDefault="00025334"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025334" w:rsidRPr="00605605" w:rsidRDefault="00025334"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484844" w:rsidRPr="00DE75EB">
        <w:rPr>
          <w:rFonts w:asciiTheme="minorHAnsi" w:hAnsiTheme="minorHAnsi"/>
          <w:b/>
          <w:noProof/>
          <w:sz w:val="32"/>
        </w:rPr>
        <mc:AlternateContent>
          <mc:Choice Requires="wps">
            <w:drawing>
              <wp:anchor distT="0" distB="0" distL="114300" distR="114300" simplePos="0" relativeHeight="251660288" behindDoc="0" locked="0" layoutInCell="1" allowOverlap="1" wp14:anchorId="183FB9EE" wp14:editId="5FCCA36B">
                <wp:simplePos x="0" y="0"/>
                <wp:positionH relativeFrom="column">
                  <wp:posOffset>0</wp:posOffset>
                </wp:positionH>
                <wp:positionV relativeFrom="paragraph">
                  <wp:posOffset>2037715</wp:posOffset>
                </wp:positionV>
                <wp:extent cx="5943600" cy="1256888"/>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943600" cy="1256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334" w:rsidRPr="00484844" w:rsidRDefault="00025334">
                            <w:pPr>
                              <w:rPr>
                                <w:rFonts w:asciiTheme="minorHAnsi" w:hAnsiTheme="minorHAnsi"/>
                                <w:color w:val="FFFFFF" w:themeColor="background1"/>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B9EE" id="Text Box 5" o:spid="_x0000_s1028" type="#_x0000_t202" style="position:absolute;left:0;text-align:left;margin-left:0;margin-top:160.45pt;width:468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" filled="f" stroked="f" strokeweight=".5pt">
                <v:textbox>
                  <w:txbxContent>
                    <w:p w:rsidR="00025334" w:rsidRPr="00484844" w:rsidRDefault="00025334">
                      <w:pPr>
                        <w:rPr>
                          <w:rFonts w:asciiTheme="minorHAnsi" w:hAnsiTheme="minorHAnsi"/>
                          <w:color w:val="FFFFFF" w:themeColor="background1"/>
                          <w:sz w:val="48"/>
                          <w:szCs w:val="48"/>
                          <w14:textOutline w14:w="9525" w14:cap="rnd" w14:cmpd="sng" w14:algn="ctr">
                            <w14:noFill/>
                            <w14:prstDash w14:val="solid"/>
                            <w14:bevel/>
                          </w14:textOutline>
                        </w:rPr>
                      </w:pPr>
                    </w:p>
                  </w:txbxContent>
                </v:textbox>
              </v:shape>
            </w:pict>
          </mc:Fallback>
        </mc:AlternateContent>
      </w:r>
      <w:r w:rsidR="00DE7AF9" w:rsidRPr="00DE75EB">
        <w:rPr>
          <w:rFonts w:asciiTheme="minorHAnsi" w:hAnsiTheme="minorHAnsi"/>
          <w:b/>
          <w:sz w:val="32"/>
        </w:rPr>
        <w:br w:type="page"/>
      </w:r>
    </w:p>
    <w:p w:rsidR="000E34EC" w:rsidRPr="00DE75EB" w:rsidRDefault="000E34EC" w:rsidP="00DE75EB">
      <w:pPr>
        <w:pStyle w:val="NoSpacing"/>
        <w:jc w:val="center"/>
        <w:rPr>
          <w:b/>
          <w:sz w:val="28"/>
          <w:szCs w:val="28"/>
        </w:rPr>
      </w:pPr>
      <w:r w:rsidRPr="00DE75EB">
        <w:rPr>
          <w:b/>
          <w:sz w:val="28"/>
          <w:szCs w:val="28"/>
        </w:rPr>
        <w:lastRenderedPageBreak/>
        <w:t>Emergency Preparedness Toolkit</w:t>
      </w:r>
    </w:p>
    <w:p w:rsidR="000E34EC" w:rsidRPr="00DE75EB" w:rsidRDefault="000E34EC" w:rsidP="00DE75EB">
      <w:pPr>
        <w:pStyle w:val="NoSpacing"/>
        <w:jc w:val="center"/>
        <w:rPr>
          <w:b/>
          <w:sz w:val="28"/>
          <w:szCs w:val="28"/>
        </w:rPr>
      </w:pPr>
      <w:r w:rsidRPr="00DE75EB">
        <w:rPr>
          <w:b/>
          <w:sz w:val="28"/>
          <w:szCs w:val="28"/>
        </w:rPr>
        <w:t>Overview:  Risk Assessment and Emergency Planning</w:t>
      </w:r>
    </w:p>
    <w:p w:rsidR="000E34EC" w:rsidRPr="00DE75EB" w:rsidRDefault="000E34EC" w:rsidP="000E34EC">
      <w:pPr>
        <w:pStyle w:val="NoSpacing"/>
        <w:rPr>
          <w:b/>
          <w:sz w:val="24"/>
          <w:szCs w:val="24"/>
        </w:rPr>
      </w:pPr>
    </w:p>
    <w:p w:rsidR="000E34EC" w:rsidRPr="00DE75EB" w:rsidRDefault="000E34EC" w:rsidP="000E34EC">
      <w:pPr>
        <w:pStyle w:val="NoSpacing"/>
        <w:rPr>
          <w:b/>
          <w:sz w:val="24"/>
          <w:szCs w:val="24"/>
        </w:rPr>
      </w:pPr>
      <w:r w:rsidRPr="00DE75EB">
        <w:rPr>
          <w:b/>
          <w:sz w:val="24"/>
          <w:szCs w:val="24"/>
        </w:rPr>
        <w:t>Regulatory Background to Risk Assessment and Emergency Planning</w:t>
      </w:r>
    </w:p>
    <w:p w:rsidR="000E34EC" w:rsidRPr="00DE75EB" w:rsidRDefault="000E34EC" w:rsidP="000E34EC">
      <w:pPr>
        <w:pStyle w:val="NoSpacing"/>
        <w:rPr>
          <w:sz w:val="24"/>
          <w:szCs w:val="24"/>
        </w:rPr>
      </w:pPr>
    </w:p>
    <w:p w:rsidR="000E34EC" w:rsidRPr="00DE75EB" w:rsidRDefault="000E34EC" w:rsidP="000E34EC">
      <w:pPr>
        <w:pStyle w:val="NoSpacing"/>
        <w:rPr>
          <w:sz w:val="24"/>
          <w:szCs w:val="24"/>
        </w:rPr>
      </w:pPr>
      <w:r w:rsidRPr="00DE75EB">
        <w:rPr>
          <w:sz w:val="24"/>
          <w:szCs w:val="24"/>
        </w:rPr>
        <w:t>Appendix Z of the State Operations Manual (SOM) explains that Risk Assessment and Emergency Planning involves the following actions:</w:t>
      </w:r>
    </w:p>
    <w:p w:rsidR="000E34EC" w:rsidRPr="00DE75EB" w:rsidRDefault="000E34EC" w:rsidP="004127D9">
      <w:pPr>
        <w:pStyle w:val="NoSpacing"/>
        <w:numPr>
          <w:ilvl w:val="0"/>
          <w:numId w:val="1"/>
        </w:numPr>
        <w:rPr>
          <w:sz w:val="24"/>
          <w:szCs w:val="24"/>
        </w:rPr>
      </w:pPr>
      <w:r w:rsidRPr="00DE75EB">
        <w:rPr>
          <w:sz w:val="24"/>
          <w:szCs w:val="24"/>
        </w:rPr>
        <w:t>Develop an emergency preparedness plan based on facility and community risk assessments</w:t>
      </w:r>
    </w:p>
    <w:p w:rsidR="000E34EC" w:rsidRPr="00DE75EB" w:rsidRDefault="000E34EC" w:rsidP="004127D9">
      <w:pPr>
        <w:pStyle w:val="NoSpacing"/>
        <w:numPr>
          <w:ilvl w:val="0"/>
          <w:numId w:val="1"/>
        </w:numPr>
        <w:rPr>
          <w:sz w:val="24"/>
          <w:szCs w:val="24"/>
        </w:rPr>
      </w:pPr>
      <w:r w:rsidRPr="00DE75EB">
        <w:rPr>
          <w:sz w:val="24"/>
          <w:szCs w:val="24"/>
        </w:rPr>
        <w:t>Utilize an all-hazards approach</w:t>
      </w:r>
    </w:p>
    <w:p w:rsidR="000E34EC" w:rsidRPr="00DE75EB" w:rsidRDefault="000E34EC" w:rsidP="004127D9">
      <w:pPr>
        <w:pStyle w:val="NoSpacing"/>
        <w:numPr>
          <w:ilvl w:val="0"/>
          <w:numId w:val="1"/>
        </w:numPr>
        <w:rPr>
          <w:sz w:val="24"/>
          <w:szCs w:val="24"/>
        </w:rPr>
      </w:pPr>
      <w:r w:rsidRPr="00DE75EB">
        <w:rPr>
          <w:sz w:val="24"/>
          <w:szCs w:val="24"/>
        </w:rPr>
        <w:t>Address patient population, services offered for continuity of operations, and succession plans</w:t>
      </w:r>
    </w:p>
    <w:p w:rsidR="000E34EC" w:rsidRPr="00DE75EB" w:rsidRDefault="000E34EC" w:rsidP="004127D9">
      <w:pPr>
        <w:pStyle w:val="NoSpacing"/>
        <w:numPr>
          <w:ilvl w:val="0"/>
          <w:numId w:val="1"/>
        </w:numPr>
        <w:rPr>
          <w:sz w:val="24"/>
          <w:szCs w:val="24"/>
        </w:rPr>
      </w:pPr>
      <w:r w:rsidRPr="00DE75EB">
        <w:rPr>
          <w:sz w:val="24"/>
          <w:szCs w:val="24"/>
        </w:rPr>
        <w:t>Collaborate with local, tribal, regional, state, and federal emergency preparedness officials</w:t>
      </w:r>
    </w:p>
    <w:p w:rsidR="000E34EC" w:rsidRPr="00DE75EB" w:rsidRDefault="000E34EC" w:rsidP="000E34EC">
      <w:pPr>
        <w:pStyle w:val="NoSpacing"/>
        <w:rPr>
          <w:sz w:val="24"/>
          <w:szCs w:val="24"/>
        </w:rPr>
      </w:pPr>
    </w:p>
    <w:p w:rsidR="000E34EC" w:rsidRPr="00DE75EB" w:rsidRDefault="00DE75EB" w:rsidP="000E34EC">
      <w:pPr>
        <w:pStyle w:val="NoSpacing"/>
        <w:rPr>
          <w:sz w:val="24"/>
          <w:szCs w:val="24"/>
        </w:rPr>
      </w:pPr>
      <w:r>
        <w:rPr>
          <w:sz w:val="24"/>
          <w:szCs w:val="24"/>
        </w:rPr>
        <w:t>CMS</w:t>
      </w:r>
      <w:r w:rsidR="000E34EC" w:rsidRPr="00DE75EB">
        <w:rPr>
          <w:sz w:val="24"/>
          <w:szCs w:val="24"/>
        </w:rPr>
        <w:t xml:space="preserve"> Emergency Preparedness Appendix Z regulations contain specific terminology for which many providers requested clarification.  The following definitions are contained in a Frequently Asked Questions (FAQs) document which can be downloaded from </w:t>
      </w:r>
      <w:hyperlink r:id="rId8" w:history="1">
        <w:r w:rsidR="000E34EC" w:rsidRPr="00DE75EB">
          <w:rPr>
            <w:rStyle w:val="Hyperlink"/>
            <w:sz w:val="24"/>
            <w:szCs w:val="24"/>
          </w:rPr>
          <w:t>https://www.cms.gov/Medicare/Provider-Enrollment-and-Certification/SurveyCertEmergPrep/Emergency-Prep-Rule.html</w:t>
        </w:r>
      </w:hyperlink>
      <w:r w:rsidR="000E34EC" w:rsidRPr="00DE75EB">
        <w:rPr>
          <w:sz w:val="24"/>
          <w:szCs w:val="24"/>
        </w:rPr>
        <w:t>.</w:t>
      </w:r>
    </w:p>
    <w:p w:rsidR="000E34EC" w:rsidRPr="00DE75EB" w:rsidRDefault="000E34EC" w:rsidP="000E34EC">
      <w:pPr>
        <w:pStyle w:val="NoSpacing"/>
        <w:rPr>
          <w:sz w:val="24"/>
          <w:szCs w:val="24"/>
        </w:rPr>
      </w:pPr>
    </w:p>
    <w:p w:rsidR="000E34EC" w:rsidRDefault="000E34EC" w:rsidP="004127D9">
      <w:pPr>
        <w:pStyle w:val="NoSpacing"/>
        <w:numPr>
          <w:ilvl w:val="0"/>
          <w:numId w:val="2"/>
        </w:numPr>
        <w:rPr>
          <w:sz w:val="24"/>
          <w:szCs w:val="24"/>
        </w:rPr>
      </w:pPr>
      <w:r w:rsidRPr="00DE75EB">
        <w:rPr>
          <w:b/>
          <w:sz w:val="24"/>
          <w:szCs w:val="24"/>
        </w:rPr>
        <w:t>All-Hazards Approach</w:t>
      </w:r>
      <w:r w:rsidRPr="00DE75EB">
        <w:rPr>
          <w:sz w:val="24"/>
          <w:szCs w:val="24"/>
        </w:rPr>
        <w:t xml:space="preserve">: An all-hazards approach is an integrated approach to emergency preparedness planning that focuses on capacities and capabilities that are critical to preparedness for a full spectrum of emergencies or disasters, including internal emergencies and a man-made emergency (or both) or natural disaster. This approach is specific to the location of the provider or supplier and considers the particular type of hazards most likely to occur in their areas. These may include, but are not limited to, care-related emergencies, equipment and power failures, interruptions in communications, including cyber-attacks, loss of a portion or all of a facility, and interruptions in the normal supply of essentials such as water and food. Rather than managing planning initiatives for a multitude of threat scenarios all-hazards planning focuses on developing capacities and capabilities that are critical to preparedness for a full spectrum of emergencies or disasters. Thus, all-hazards planning does not specifically address every possible threat but ensures those hospitals and all other providers and suppliers will have the capacity to address a broad range of related emergencies. </w:t>
      </w:r>
    </w:p>
    <w:p w:rsidR="00DE75EB" w:rsidRPr="00DE75EB" w:rsidRDefault="00DE75EB" w:rsidP="00DE75EB">
      <w:pPr>
        <w:pStyle w:val="NoSpacing"/>
        <w:ind w:left="720"/>
        <w:rPr>
          <w:sz w:val="24"/>
          <w:szCs w:val="24"/>
        </w:rPr>
      </w:pPr>
    </w:p>
    <w:p w:rsidR="000E34EC" w:rsidRDefault="000E34EC" w:rsidP="004127D9">
      <w:pPr>
        <w:pStyle w:val="NoSpacing"/>
        <w:numPr>
          <w:ilvl w:val="0"/>
          <w:numId w:val="2"/>
        </w:numPr>
        <w:rPr>
          <w:sz w:val="24"/>
          <w:szCs w:val="24"/>
        </w:rPr>
      </w:pPr>
      <w:r w:rsidRPr="00DE75EB">
        <w:rPr>
          <w:b/>
          <w:sz w:val="24"/>
          <w:szCs w:val="24"/>
        </w:rPr>
        <w:t>Business Impact Analysis (BIAs)</w:t>
      </w:r>
      <w:r w:rsidRPr="00DE75EB">
        <w:rPr>
          <w:sz w:val="24"/>
          <w:szCs w:val="24"/>
        </w:rPr>
        <w:t xml:space="preserve">:  BIAs are a method of identifying and evaluating the effects various threats/ hazards may have on the ability of an organization to perform its essential functions and the resulting impact of those effects. It is through the BIA that organizations can identify problem areas (gaps, weaknesses, vulnerabilities) and in turn, </w:t>
      </w:r>
      <w:r w:rsidRPr="00DE75EB">
        <w:rPr>
          <w:sz w:val="24"/>
          <w:szCs w:val="24"/>
        </w:rPr>
        <w:lastRenderedPageBreak/>
        <w:t xml:space="preserve">organization leadership may use the BIA results to support risk management decision making. </w:t>
      </w:r>
    </w:p>
    <w:p w:rsidR="00DE75EB" w:rsidRPr="00DE75EB" w:rsidRDefault="00DE75EB" w:rsidP="00DE75EB">
      <w:pPr>
        <w:pStyle w:val="NoSpacing"/>
        <w:rPr>
          <w:sz w:val="24"/>
          <w:szCs w:val="24"/>
        </w:rPr>
      </w:pPr>
    </w:p>
    <w:p w:rsidR="000E34EC" w:rsidRDefault="000E34EC" w:rsidP="004127D9">
      <w:pPr>
        <w:pStyle w:val="NoSpacing"/>
        <w:numPr>
          <w:ilvl w:val="0"/>
          <w:numId w:val="2"/>
        </w:numPr>
        <w:rPr>
          <w:sz w:val="24"/>
          <w:szCs w:val="24"/>
        </w:rPr>
      </w:pPr>
      <w:r w:rsidRPr="00DE75EB">
        <w:rPr>
          <w:b/>
          <w:sz w:val="24"/>
          <w:szCs w:val="24"/>
        </w:rPr>
        <w:t>Emergency/Disaster</w:t>
      </w:r>
      <w:r w:rsidRPr="00DE75EB">
        <w:rPr>
          <w:sz w:val="24"/>
          <w:szCs w:val="24"/>
        </w:rPr>
        <w:t xml:space="preserve">: An event that can affect the facility internally was well as the overall target population or the community at large. </w:t>
      </w:r>
    </w:p>
    <w:p w:rsidR="00DE75EB" w:rsidRPr="00DE75EB" w:rsidRDefault="00DE75EB" w:rsidP="00DE75EB">
      <w:pPr>
        <w:pStyle w:val="NoSpacing"/>
        <w:rPr>
          <w:sz w:val="24"/>
          <w:szCs w:val="24"/>
        </w:rPr>
      </w:pPr>
    </w:p>
    <w:p w:rsidR="000E34EC" w:rsidRDefault="000E34EC" w:rsidP="004127D9">
      <w:pPr>
        <w:pStyle w:val="NoSpacing"/>
        <w:numPr>
          <w:ilvl w:val="0"/>
          <w:numId w:val="2"/>
        </w:numPr>
        <w:rPr>
          <w:sz w:val="24"/>
          <w:szCs w:val="24"/>
        </w:rPr>
      </w:pPr>
      <w:r w:rsidRPr="00DE75EB">
        <w:rPr>
          <w:b/>
          <w:sz w:val="24"/>
          <w:szCs w:val="24"/>
        </w:rPr>
        <w:t>Emergency Preparedness Program:</w:t>
      </w:r>
      <w:r w:rsidRPr="00DE75EB">
        <w:rPr>
          <w:sz w:val="24"/>
          <w:szCs w:val="24"/>
        </w:rPr>
        <w:t xml:space="preserve"> The Emergency Preparedness Program is a facility’s comprehensive approach to meeting the health and safety needs of their patient population and provides facilities with guidance on how to respond to emergency situations that could impact the operation of the facility, such as natural or man-made disasters. It includes (1) all-hazards risk assessment and emergency planning, development and implementation of policies and procedures, a communication plan, and training and testing. The program </w:t>
      </w:r>
      <w:proofErr w:type="gramStart"/>
      <w:r w:rsidRPr="00DE75EB">
        <w:rPr>
          <w:sz w:val="24"/>
          <w:szCs w:val="24"/>
        </w:rPr>
        <w:t>as a whole consists</w:t>
      </w:r>
      <w:proofErr w:type="gramEnd"/>
      <w:r w:rsidRPr="00DE75EB">
        <w:rPr>
          <w:sz w:val="24"/>
          <w:szCs w:val="24"/>
        </w:rPr>
        <w:t xml:space="preserve"> of the Emergency Plan, which is based on the four core elements. </w:t>
      </w:r>
    </w:p>
    <w:p w:rsidR="00DE75EB" w:rsidRPr="00DE75EB" w:rsidRDefault="00DE75EB" w:rsidP="00DE75EB">
      <w:pPr>
        <w:pStyle w:val="NoSpacing"/>
        <w:rPr>
          <w:sz w:val="24"/>
          <w:szCs w:val="24"/>
        </w:rPr>
      </w:pPr>
    </w:p>
    <w:p w:rsidR="000E34EC" w:rsidRDefault="000E34EC" w:rsidP="004127D9">
      <w:pPr>
        <w:pStyle w:val="NoSpacing"/>
        <w:numPr>
          <w:ilvl w:val="0"/>
          <w:numId w:val="2"/>
        </w:numPr>
        <w:rPr>
          <w:sz w:val="24"/>
          <w:szCs w:val="24"/>
        </w:rPr>
      </w:pPr>
      <w:r w:rsidRPr="00DE75EB">
        <w:rPr>
          <w:b/>
          <w:sz w:val="24"/>
          <w:szCs w:val="24"/>
        </w:rPr>
        <w:t xml:space="preserve">Emergency Plan: </w:t>
      </w:r>
      <w:r w:rsidRPr="00DE75EB">
        <w:rPr>
          <w:sz w:val="24"/>
          <w:szCs w:val="24"/>
        </w:rPr>
        <w:t>An emergency plan is one part of a facility’s emergency preparedness program and provides the framework which includes conducting facility-based and community-based risk assessments that will assist a facility in addressing patient needs along with the continuity of business operations. Additionally, a plan will support, guide and ensure a facility’s ability to collaborate with local emergency preparedness officials.</w:t>
      </w:r>
    </w:p>
    <w:p w:rsidR="00DE75EB" w:rsidRPr="00DE75EB" w:rsidRDefault="00DE75EB" w:rsidP="00DE75EB">
      <w:pPr>
        <w:pStyle w:val="NoSpacing"/>
        <w:rPr>
          <w:sz w:val="24"/>
          <w:szCs w:val="24"/>
        </w:rPr>
      </w:pPr>
    </w:p>
    <w:p w:rsidR="000E34EC" w:rsidRDefault="000E34EC" w:rsidP="004127D9">
      <w:pPr>
        <w:pStyle w:val="NoSpacing"/>
        <w:numPr>
          <w:ilvl w:val="0"/>
          <w:numId w:val="2"/>
        </w:numPr>
        <w:rPr>
          <w:sz w:val="24"/>
          <w:szCs w:val="24"/>
        </w:rPr>
      </w:pPr>
      <w:r w:rsidRPr="00DE75EB">
        <w:rPr>
          <w:b/>
          <w:sz w:val="24"/>
          <w:szCs w:val="24"/>
        </w:rPr>
        <w:t>Facility-Based:</w:t>
      </w:r>
      <w:r w:rsidRPr="00DE75EB">
        <w:rPr>
          <w:sz w:val="24"/>
          <w:szCs w:val="24"/>
        </w:rPr>
        <w:t xml:space="preserve"> When discussing the terms “all-hazards approach” and facility-based risk assessments, we consider the term “facility-based” to mean that the emergency preparedness program is specific to the facility. Facility-based includes, but is not limited to, hazards specific to a facility based on the geographic location; Patient/Resident/Client population; facility type and potential surrounding community assets (i.e. rural area versus a large metropolitan area). </w:t>
      </w:r>
    </w:p>
    <w:p w:rsidR="00DE75EB" w:rsidRPr="00DE75EB" w:rsidRDefault="00DE75EB" w:rsidP="00DE75EB">
      <w:pPr>
        <w:pStyle w:val="NoSpacing"/>
        <w:rPr>
          <w:sz w:val="24"/>
          <w:szCs w:val="24"/>
        </w:rPr>
      </w:pPr>
    </w:p>
    <w:p w:rsidR="000E34EC" w:rsidRDefault="000E34EC" w:rsidP="004127D9">
      <w:pPr>
        <w:pStyle w:val="NoSpacing"/>
        <w:numPr>
          <w:ilvl w:val="0"/>
          <w:numId w:val="2"/>
        </w:numPr>
        <w:rPr>
          <w:sz w:val="24"/>
          <w:szCs w:val="24"/>
        </w:rPr>
      </w:pPr>
      <w:r w:rsidRPr="00DE75EB">
        <w:rPr>
          <w:b/>
          <w:sz w:val="24"/>
          <w:szCs w:val="24"/>
        </w:rPr>
        <w:t>Full-Scale Exercise:</w:t>
      </w:r>
      <w:r w:rsidRPr="00DE75EB">
        <w:rPr>
          <w:sz w:val="24"/>
          <w:szCs w:val="24"/>
        </w:rPr>
        <w:t xml:space="preserve"> A full scale exercise is a multi-agency, multijurisdictional, multi-discipline exercise involving functional (for example, joint field office, emergency operation centers, etc.) and ‘‘boots on the ground’’ response (for example, firefighters decontaminating mock victims). </w:t>
      </w:r>
    </w:p>
    <w:p w:rsidR="00DE75EB" w:rsidRPr="00DE75EB" w:rsidRDefault="00DE75EB" w:rsidP="00DE75EB">
      <w:pPr>
        <w:pStyle w:val="NoSpacing"/>
        <w:rPr>
          <w:sz w:val="24"/>
          <w:szCs w:val="24"/>
        </w:rPr>
      </w:pPr>
    </w:p>
    <w:p w:rsidR="000E34EC" w:rsidRPr="00DE75EB" w:rsidRDefault="000E34EC" w:rsidP="004127D9">
      <w:pPr>
        <w:pStyle w:val="NoSpacing"/>
        <w:numPr>
          <w:ilvl w:val="0"/>
          <w:numId w:val="2"/>
        </w:numPr>
        <w:rPr>
          <w:sz w:val="24"/>
          <w:szCs w:val="24"/>
        </w:rPr>
      </w:pPr>
      <w:r w:rsidRPr="00DE75EB">
        <w:rPr>
          <w:b/>
          <w:sz w:val="24"/>
          <w:szCs w:val="24"/>
        </w:rPr>
        <w:t xml:space="preserve">Hazard Vulnerability Assessments (HVAs):  </w:t>
      </w:r>
      <w:r w:rsidRPr="00DE75EB">
        <w:rPr>
          <w:sz w:val="24"/>
          <w:szCs w:val="24"/>
        </w:rPr>
        <w:t>HVAs are systematic approaches to identifying hazards or risks that are most likely to have an impact on a healthcare facility and the surrounding community. The HVA describes the process by which a provider or supplier will assess and identify potential gaps in its emergency plan(s). Potential loss scenarios should be identified first during the risk assessment. Once a risk asse</w:t>
      </w:r>
      <w:r w:rsidR="00DE75EB">
        <w:rPr>
          <w:sz w:val="24"/>
          <w:szCs w:val="24"/>
        </w:rPr>
        <w:t>ssment has been conducted and a</w:t>
      </w:r>
      <w:r w:rsidRPr="00DE75EB">
        <w:rPr>
          <w:sz w:val="24"/>
          <w:szCs w:val="24"/>
        </w:rPr>
        <w:t xml:space="preserve"> facility has identified the potential hazards/risks they may face, the organization can use those hazards/risks to conduct a Business Impact Analysis.</w:t>
      </w:r>
    </w:p>
    <w:p w:rsidR="000E34EC" w:rsidRDefault="000E34EC" w:rsidP="004127D9">
      <w:pPr>
        <w:pStyle w:val="NoSpacing"/>
        <w:numPr>
          <w:ilvl w:val="0"/>
          <w:numId w:val="2"/>
        </w:numPr>
        <w:rPr>
          <w:sz w:val="24"/>
          <w:szCs w:val="24"/>
        </w:rPr>
      </w:pPr>
      <w:r w:rsidRPr="00DE75EB">
        <w:rPr>
          <w:b/>
          <w:sz w:val="24"/>
          <w:szCs w:val="24"/>
        </w:rPr>
        <w:lastRenderedPageBreak/>
        <w:t>Risk Assessment:</w:t>
      </w:r>
      <w:r w:rsidRPr="00DE75EB">
        <w:rPr>
          <w:sz w:val="24"/>
          <w:szCs w:val="24"/>
        </w:rPr>
        <w:t xml:space="preserve"> This is general terminology that is within the emergency preparedness regulations and preamble to the Final Rule (81 Fed. Reg. 63860, Sept. 16, 2016) which describes a process facilities are to use to assess and document potential hazards within their areas and the vulnerabilities and challenges which may impact the facility. Additional terms currently used by the industry are all-hazards risk assessments are also referred to as Hazard Vulnerability Assessments (HVAs), or all-hazards self-assessments. For the purposes of these guidelines, we are using the term “risk assessment,” which may include a variety of current industry practices used to assess and document potential hazards and their impacts. This guidance is not specifying which type of generally accepted emergency preparedness risk assessment facilities should have, as the language used in defining risk assessment activities is meant to be easily understood by all providers and suppliers that are affected by this final rule and is aligned with the national preparedness system and terminology (81 Fed. Reg. 63860, at 63875). However, facilities are expected to conduct a full assessment of hazards based on geographical location and the individual facility dynamics, such as patient population. </w:t>
      </w:r>
    </w:p>
    <w:p w:rsidR="00DE75EB" w:rsidRPr="00DE75EB" w:rsidRDefault="00DE75EB" w:rsidP="00DE75EB">
      <w:pPr>
        <w:pStyle w:val="NoSpacing"/>
        <w:ind w:left="360"/>
        <w:rPr>
          <w:sz w:val="24"/>
          <w:szCs w:val="24"/>
        </w:rPr>
      </w:pPr>
    </w:p>
    <w:p w:rsidR="000E34EC" w:rsidRDefault="000E34EC" w:rsidP="004127D9">
      <w:pPr>
        <w:pStyle w:val="NoSpacing"/>
        <w:numPr>
          <w:ilvl w:val="0"/>
          <w:numId w:val="2"/>
        </w:numPr>
        <w:rPr>
          <w:sz w:val="24"/>
          <w:szCs w:val="24"/>
        </w:rPr>
      </w:pPr>
      <w:r w:rsidRPr="00DE75EB">
        <w:rPr>
          <w:b/>
          <w:sz w:val="24"/>
          <w:szCs w:val="24"/>
        </w:rPr>
        <w:t>Staff:</w:t>
      </w:r>
      <w:r w:rsidRPr="00DE75EB">
        <w:rPr>
          <w:sz w:val="24"/>
          <w:szCs w:val="24"/>
        </w:rPr>
        <w:t xml:space="preserve"> The term "staff" refers to all individuals that are employed directly by a facility. The phrase "individuals providing services under arrangement" means services furnished under arrangement that are subject to a written contract conforming with the requirements specified in section 1861(w) of the Social Security Act. </w:t>
      </w:r>
    </w:p>
    <w:p w:rsidR="00DE75EB" w:rsidRPr="00DE75EB" w:rsidRDefault="00DE75EB" w:rsidP="00DE75EB">
      <w:pPr>
        <w:pStyle w:val="NoSpacing"/>
        <w:rPr>
          <w:sz w:val="24"/>
          <w:szCs w:val="24"/>
        </w:rPr>
      </w:pPr>
    </w:p>
    <w:p w:rsidR="000E34EC" w:rsidRPr="00DE75EB" w:rsidRDefault="000E34EC" w:rsidP="004127D9">
      <w:pPr>
        <w:pStyle w:val="NoSpacing"/>
        <w:numPr>
          <w:ilvl w:val="0"/>
          <w:numId w:val="2"/>
        </w:numPr>
        <w:rPr>
          <w:sz w:val="24"/>
          <w:szCs w:val="24"/>
        </w:rPr>
      </w:pPr>
      <w:r w:rsidRPr="00DE75EB">
        <w:rPr>
          <w:b/>
          <w:sz w:val="24"/>
          <w:szCs w:val="24"/>
        </w:rPr>
        <w:t>Table-top Exercise (TTX):</w:t>
      </w:r>
      <w:r w:rsidRPr="00DE75EB">
        <w:rPr>
          <w:sz w:val="24"/>
          <w:szCs w:val="24"/>
        </w:rPr>
        <w:t xml:space="preserve"> A table-top exercise is a group discussion led by a facilitator, using narrated, clinically-relevant emergency scenario, and a set of problem statements, directed messages, or prepared questions designed to challenge an emergency plan. It involves key personnel discussing simulated scenarios, including computer-simulated exercises, in an informal setting. TTXs can be used to assess plans, policies, and procedures.</w:t>
      </w:r>
    </w:p>
    <w:p w:rsidR="000E34EC" w:rsidRPr="00DE75EB" w:rsidRDefault="000E34EC" w:rsidP="000E34EC">
      <w:pPr>
        <w:pStyle w:val="NoSpacing"/>
        <w:rPr>
          <w:b/>
          <w:sz w:val="24"/>
          <w:szCs w:val="24"/>
        </w:rPr>
      </w:pPr>
    </w:p>
    <w:p w:rsidR="000E34EC" w:rsidRPr="00DE75EB" w:rsidRDefault="000E34EC" w:rsidP="000E34EC">
      <w:pPr>
        <w:pStyle w:val="NoSpacing"/>
        <w:rPr>
          <w:sz w:val="24"/>
          <w:szCs w:val="24"/>
        </w:rPr>
      </w:pPr>
      <w:r w:rsidRPr="00DE75EB">
        <w:rPr>
          <w:sz w:val="24"/>
          <w:szCs w:val="24"/>
        </w:rPr>
        <w:t>Appendix Z consolidates the Emergency Preparedness regulations associated with the following entities:</w:t>
      </w:r>
    </w:p>
    <w:p w:rsidR="000E34EC" w:rsidRPr="00DE75EB" w:rsidRDefault="000E34EC" w:rsidP="004127D9">
      <w:pPr>
        <w:pStyle w:val="NoSpacing"/>
        <w:numPr>
          <w:ilvl w:val="0"/>
          <w:numId w:val="3"/>
        </w:numPr>
        <w:rPr>
          <w:b/>
          <w:sz w:val="24"/>
          <w:szCs w:val="24"/>
        </w:rPr>
      </w:pPr>
      <w:r w:rsidRPr="00DE75EB">
        <w:rPr>
          <w:b/>
          <w:sz w:val="24"/>
          <w:szCs w:val="24"/>
        </w:rPr>
        <w:t>Inpatient</w:t>
      </w:r>
    </w:p>
    <w:p w:rsidR="000E34EC" w:rsidRPr="00DE75EB" w:rsidRDefault="000E34EC" w:rsidP="004127D9">
      <w:pPr>
        <w:pStyle w:val="NoSpacing"/>
        <w:numPr>
          <w:ilvl w:val="1"/>
          <w:numId w:val="3"/>
        </w:numPr>
        <w:rPr>
          <w:sz w:val="24"/>
          <w:szCs w:val="24"/>
        </w:rPr>
      </w:pPr>
      <w:r w:rsidRPr="00DE75EB">
        <w:rPr>
          <w:sz w:val="24"/>
          <w:szCs w:val="24"/>
        </w:rPr>
        <w:t>Hospitals §482.15</w:t>
      </w:r>
    </w:p>
    <w:p w:rsidR="000E34EC" w:rsidRPr="00DE75EB" w:rsidRDefault="000E34EC" w:rsidP="004127D9">
      <w:pPr>
        <w:pStyle w:val="NoSpacing"/>
        <w:numPr>
          <w:ilvl w:val="1"/>
          <w:numId w:val="3"/>
        </w:numPr>
        <w:rPr>
          <w:sz w:val="24"/>
          <w:szCs w:val="24"/>
        </w:rPr>
      </w:pPr>
      <w:r w:rsidRPr="00DE75EB">
        <w:rPr>
          <w:sz w:val="24"/>
          <w:szCs w:val="24"/>
        </w:rPr>
        <w:t>Critical Access Hospitals §485.625</w:t>
      </w:r>
    </w:p>
    <w:p w:rsidR="000E34EC" w:rsidRPr="00DE75EB" w:rsidRDefault="000E34EC" w:rsidP="004127D9">
      <w:pPr>
        <w:pStyle w:val="NoSpacing"/>
        <w:numPr>
          <w:ilvl w:val="1"/>
          <w:numId w:val="3"/>
        </w:numPr>
        <w:rPr>
          <w:sz w:val="24"/>
          <w:szCs w:val="24"/>
        </w:rPr>
      </w:pPr>
      <w:r w:rsidRPr="00DE75EB">
        <w:rPr>
          <w:sz w:val="24"/>
          <w:szCs w:val="24"/>
        </w:rPr>
        <w:t>Religious Nonmedical Health Care Institutions (RNHCIs) §403.748</w:t>
      </w:r>
    </w:p>
    <w:p w:rsidR="000E34EC" w:rsidRPr="00DE75EB" w:rsidRDefault="000E34EC" w:rsidP="004127D9">
      <w:pPr>
        <w:pStyle w:val="NoSpacing"/>
        <w:numPr>
          <w:ilvl w:val="1"/>
          <w:numId w:val="3"/>
        </w:numPr>
        <w:rPr>
          <w:sz w:val="24"/>
          <w:szCs w:val="24"/>
        </w:rPr>
      </w:pPr>
      <w:r w:rsidRPr="00DE75EB">
        <w:rPr>
          <w:sz w:val="24"/>
          <w:szCs w:val="24"/>
        </w:rPr>
        <w:t>Psychiatric Residential Treatment Facilities (PRTFs) §441.184</w:t>
      </w:r>
    </w:p>
    <w:p w:rsidR="000E34EC" w:rsidRPr="00DE75EB" w:rsidRDefault="000E34EC" w:rsidP="004127D9">
      <w:pPr>
        <w:pStyle w:val="NoSpacing"/>
        <w:numPr>
          <w:ilvl w:val="1"/>
          <w:numId w:val="3"/>
        </w:numPr>
        <w:rPr>
          <w:sz w:val="24"/>
          <w:szCs w:val="24"/>
        </w:rPr>
      </w:pPr>
      <w:r w:rsidRPr="00DE75EB">
        <w:rPr>
          <w:sz w:val="24"/>
          <w:szCs w:val="24"/>
        </w:rPr>
        <w:t>Long-Term Care (LTC) / Skilled Nursing Facilities §483.73</w:t>
      </w:r>
    </w:p>
    <w:p w:rsidR="000E34EC" w:rsidRDefault="000E34EC" w:rsidP="004127D9">
      <w:pPr>
        <w:pStyle w:val="NoSpacing"/>
        <w:numPr>
          <w:ilvl w:val="1"/>
          <w:numId w:val="3"/>
        </w:numPr>
        <w:rPr>
          <w:sz w:val="24"/>
          <w:szCs w:val="24"/>
        </w:rPr>
      </w:pPr>
      <w:r w:rsidRPr="00DE75EB">
        <w:rPr>
          <w:sz w:val="24"/>
          <w:szCs w:val="24"/>
        </w:rPr>
        <w:t>Intermediate Care Facilities for Individuals with Intellectual Disabilities (</w:t>
      </w:r>
      <w:proofErr w:type="spellStart"/>
      <w:r w:rsidRPr="00DE75EB">
        <w:rPr>
          <w:sz w:val="24"/>
          <w:szCs w:val="24"/>
        </w:rPr>
        <w:t>ICF</w:t>
      </w:r>
      <w:proofErr w:type="spellEnd"/>
      <w:r w:rsidRPr="00DE75EB">
        <w:rPr>
          <w:sz w:val="24"/>
          <w:szCs w:val="24"/>
        </w:rPr>
        <w:t>/</w:t>
      </w:r>
      <w:proofErr w:type="spellStart"/>
      <w:r w:rsidRPr="00DE75EB">
        <w:rPr>
          <w:sz w:val="24"/>
          <w:szCs w:val="24"/>
        </w:rPr>
        <w:t>IID</w:t>
      </w:r>
      <w:proofErr w:type="spellEnd"/>
      <w:r w:rsidRPr="00DE75EB">
        <w:rPr>
          <w:sz w:val="24"/>
          <w:szCs w:val="24"/>
        </w:rPr>
        <w:t>) §483.475</w:t>
      </w:r>
    </w:p>
    <w:p w:rsidR="00DE75EB" w:rsidRDefault="00DE75EB" w:rsidP="00DE75EB">
      <w:pPr>
        <w:pStyle w:val="NoSpacing"/>
        <w:ind w:left="1440"/>
        <w:rPr>
          <w:sz w:val="24"/>
          <w:szCs w:val="24"/>
        </w:rPr>
      </w:pPr>
    </w:p>
    <w:p w:rsidR="00DE75EB" w:rsidRDefault="00DE75EB" w:rsidP="00DE75EB">
      <w:pPr>
        <w:pStyle w:val="NoSpacing"/>
        <w:ind w:left="1440"/>
        <w:rPr>
          <w:sz w:val="24"/>
          <w:szCs w:val="24"/>
        </w:rPr>
      </w:pPr>
    </w:p>
    <w:p w:rsidR="00DE75EB" w:rsidRDefault="00DE75EB" w:rsidP="00DE75EB">
      <w:pPr>
        <w:pStyle w:val="NoSpacing"/>
        <w:ind w:left="1440"/>
        <w:rPr>
          <w:sz w:val="24"/>
          <w:szCs w:val="24"/>
        </w:rPr>
      </w:pPr>
    </w:p>
    <w:p w:rsidR="00DE75EB" w:rsidRPr="00DE75EB" w:rsidRDefault="00DE75EB" w:rsidP="00DE75EB">
      <w:pPr>
        <w:pStyle w:val="NoSpacing"/>
        <w:ind w:left="1440"/>
        <w:rPr>
          <w:sz w:val="24"/>
          <w:szCs w:val="24"/>
        </w:rPr>
      </w:pPr>
    </w:p>
    <w:p w:rsidR="000E34EC" w:rsidRPr="00DE75EB" w:rsidRDefault="000E34EC" w:rsidP="004127D9">
      <w:pPr>
        <w:pStyle w:val="NoSpacing"/>
        <w:numPr>
          <w:ilvl w:val="0"/>
          <w:numId w:val="3"/>
        </w:numPr>
        <w:rPr>
          <w:b/>
          <w:sz w:val="24"/>
          <w:szCs w:val="24"/>
        </w:rPr>
      </w:pPr>
      <w:r w:rsidRPr="00DE75EB">
        <w:rPr>
          <w:b/>
          <w:sz w:val="24"/>
          <w:szCs w:val="24"/>
        </w:rPr>
        <w:lastRenderedPageBreak/>
        <w:t>Outpatient</w:t>
      </w:r>
    </w:p>
    <w:p w:rsidR="000E34EC" w:rsidRPr="00DE75EB" w:rsidRDefault="000E34EC" w:rsidP="004127D9">
      <w:pPr>
        <w:pStyle w:val="NoSpacing"/>
        <w:numPr>
          <w:ilvl w:val="1"/>
          <w:numId w:val="3"/>
        </w:numPr>
        <w:rPr>
          <w:sz w:val="24"/>
          <w:szCs w:val="24"/>
        </w:rPr>
      </w:pPr>
      <w:r w:rsidRPr="00DE75EB">
        <w:rPr>
          <w:sz w:val="24"/>
          <w:szCs w:val="24"/>
        </w:rPr>
        <w:t>Ambulatory Surgical Centers §416.54</w:t>
      </w:r>
    </w:p>
    <w:p w:rsidR="000E34EC" w:rsidRPr="00DE75EB" w:rsidRDefault="000E34EC" w:rsidP="004127D9">
      <w:pPr>
        <w:pStyle w:val="NoSpacing"/>
        <w:numPr>
          <w:ilvl w:val="1"/>
          <w:numId w:val="3"/>
        </w:numPr>
        <w:rPr>
          <w:sz w:val="24"/>
          <w:szCs w:val="24"/>
        </w:rPr>
      </w:pPr>
      <w:r w:rsidRPr="00DE75EB">
        <w:rPr>
          <w:sz w:val="24"/>
          <w:szCs w:val="24"/>
        </w:rPr>
        <w:t>Clinics, Rehabilitation Agencies, and Public Health Agencies as Providers of Outpatient Physical Therapy and Speech-Language Pathology Services §485.727</w:t>
      </w:r>
    </w:p>
    <w:p w:rsidR="000E34EC" w:rsidRPr="00DE75EB" w:rsidRDefault="000E34EC" w:rsidP="004127D9">
      <w:pPr>
        <w:pStyle w:val="NoSpacing"/>
        <w:numPr>
          <w:ilvl w:val="1"/>
          <w:numId w:val="3"/>
        </w:numPr>
        <w:rPr>
          <w:sz w:val="24"/>
          <w:szCs w:val="24"/>
        </w:rPr>
      </w:pPr>
      <w:r w:rsidRPr="00DE75EB">
        <w:rPr>
          <w:sz w:val="24"/>
          <w:szCs w:val="24"/>
        </w:rPr>
        <w:t>Community Mental Health Centers (CMHCs) §485.920</w:t>
      </w:r>
    </w:p>
    <w:p w:rsidR="000E34EC" w:rsidRPr="00DE75EB" w:rsidRDefault="000E34EC" w:rsidP="004127D9">
      <w:pPr>
        <w:pStyle w:val="NoSpacing"/>
        <w:numPr>
          <w:ilvl w:val="1"/>
          <w:numId w:val="3"/>
        </w:numPr>
        <w:rPr>
          <w:sz w:val="24"/>
          <w:szCs w:val="24"/>
        </w:rPr>
      </w:pPr>
      <w:r w:rsidRPr="00DE75EB">
        <w:rPr>
          <w:sz w:val="24"/>
          <w:szCs w:val="24"/>
        </w:rPr>
        <w:t>Comprehensive Outpatient Rehabilitation Facilities (CORFs) §485.68</w:t>
      </w:r>
    </w:p>
    <w:p w:rsidR="000E34EC" w:rsidRPr="00DE75EB" w:rsidRDefault="000E34EC" w:rsidP="004127D9">
      <w:pPr>
        <w:pStyle w:val="NoSpacing"/>
        <w:numPr>
          <w:ilvl w:val="1"/>
          <w:numId w:val="3"/>
        </w:numPr>
        <w:rPr>
          <w:sz w:val="24"/>
          <w:szCs w:val="24"/>
        </w:rPr>
      </w:pPr>
      <w:r w:rsidRPr="00DE75EB">
        <w:rPr>
          <w:sz w:val="24"/>
          <w:szCs w:val="24"/>
        </w:rPr>
        <w:t>End-Stage Renal Disease (ESRD) Facilities §494.62</w:t>
      </w:r>
    </w:p>
    <w:p w:rsidR="000E34EC" w:rsidRPr="00DE75EB" w:rsidRDefault="000E34EC" w:rsidP="004127D9">
      <w:pPr>
        <w:pStyle w:val="NoSpacing"/>
        <w:numPr>
          <w:ilvl w:val="1"/>
          <w:numId w:val="3"/>
        </w:numPr>
        <w:rPr>
          <w:sz w:val="24"/>
          <w:szCs w:val="24"/>
        </w:rPr>
      </w:pPr>
      <w:r w:rsidRPr="00DE75EB">
        <w:rPr>
          <w:sz w:val="24"/>
          <w:szCs w:val="24"/>
        </w:rPr>
        <w:t>Rural Health Clinics (RHCs) and Federally Qualified Health Centers (FQHCs) §491.12,</w:t>
      </w:r>
    </w:p>
    <w:p w:rsidR="000E34EC" w:rsidRPr="00DE75EB" w:rsidRDefault="000E34EC" w:rsidP="004127D9">
      <w:pPr>
        <w:pStyle w:val="NoSpacing"/>
        <w:numPr>
          <w:ilvl w:val="1"/>
          <w:numId w:val="3"/>
        </w:numPr>
        <w:rPr>
          <w:sz w:val="24"/>
          <w:szCs w:val="24"/>
        </w:rPr>
      </w:pPr>
      <w:r w:rsidRPr="00DE75EB">
        <w:rPr>
          <w:sz w:val="24"/>
          <w:szCs w:val="24"/>
        </w:rPr>
        <w:t>Home Health Agencies (HHAs) §484.22</w:t>
      </w:r>
    </w:p>
    <w:p w:rsidR="000E34EC" w:rsidRPr="00DE75EB" w:rsidRDefault="000E34EC" w:rsidP="004127D9">
      <w:pPr>
        <w:pStyle w:val="NoSpacing"/>
        <w:numPr>
          <w:ilvl w:val="1"/>
          <w:numId w:val="3"/>
        </w:numPr>
        <w:rPr>
          <w:sz w:val="24"/>
          <w:szCs w:val="24"/>
        </w:rPr>
      </w:pPr>
      <w:r w:rsidRPr="00DE75EB">
        <w:rPr>
          <w:sz w:val="24"/>
          <w:szCs w:val="24"/>
        </w:rPr>
        <w:t>Hospice §418.113</w:t>
      </w:r>
    </w:p>
    <w:p w:rsidR="000E34EC" w:rsidRPr="00DE75EB" w:rsidRDefault="000E34EC" w:rsidP="004127D9">
      <w:pPr>
        <w:pStyle w:val="NoSpacing"/>
        <w:numPr>
          <w:ilvl w:val="1"/>
          <w:numId w:val="3"/>
        </w:numPr>
        <w:rPr>
          <w:sz w:val="24"/>
          <w:szCs w:val="24"/>
        </w:rPr>
      </w:pPr>
      <w:r w:rsidRPr="00DE75EB">
        <w:rPr>
          <w:sz w:val="24"/>
          <w:szCs w:val="24"/>
        </w:rPr>
        <w:t>Organ Procurement Organizations (OPOs) §486.360</w:t>
      </w:r>
    </w:p>
    <w:p w:rsidR="000E34EC" w:rsidRPr="00DE75EB" w:rsidRDefault="000E34EC" w:rsidP="004127D9">
      <w:pPr>
        <w:pStyle w:val="NoSpacing"/>
        <w:numPr>
          <w:ilvl w:val="1"/>
          <w:numId w:val="3"/>
        </w:numPr>
        <w:rPr>
          <w:sz w:val="24"/>
          <w:szCs w:val="24"/>
        </w:rPr>
      </w:pPr>
      <w:r w:rsidRPr="00DE75EB">
        <w:rPr>
          <w:sz w:val="24"/>
          <w:szCs w:val="24"/>
        </w:rPr>
        <w:t>Programs of All-Inclusive Care for the Elderly(PACE) §460.84</w:t>
      </w:r>
    </w:p>
    <w:p w:rsidR="000E34EC" w:rsidRPr="00DE75EB" w:rsidRDefault="000E34EC" w:rsidP="004127D9">
      <w:pPr>
        <w:pStyle w:val="NoSpacing"/>
        <w:numPr>
          <w:ilvl w:val="1"/>
          <w:numId w:val="3"/>
        </w:numPr>
        <w:rPr>
          <w:sz w:val="24"/>
          <w:szCs w:val="24"/>
        </w:rPr>
      </w:pPr>
      <w:r w:rsidRPr="00DE75EB">
        <w:rPr>
          <w:sz w:val="24"/>
          <w:szCs w:val="24"/>
        </w:rPr>
        <w:t>Transplant Centers §482.78</w:t>
      </w:r>
    </w:p>
    <w:p w:rsidR="000E34EC" w:rsidRPr="00DE75EB" w:rsidRDefault="000E34EC" w:rsidP="000E34EC">
      <w:pPr>
        <w:pStyle w:val="NoSpacing"/>
        <w:ind w:left="1440"/>
        <w:rPr>
          <w:sz w:val="24"/>
          <w:szCs w:val="24"/>
        </w:rPr>
      </w:pPr>
    </w:p>
    <w:p w:rsidR="000E34EC" w:rsidRPr="00DE75EB" w:rsidRDefault="000E34EC" w:rsidP="000E34EC">
      <w:pPr>
        <w:pStyle w:val="NoSpacing"/>
        <w:rPr>
          <w:sz w:val="24"/>
          <w:szCs w:val="24"/>
        </w:rPr>
      </w:pPr>
      <w:r w:rsidRPr="00DE75EB">
        <w:rPr>
          <w:sz w:val="24"/>
          <w:szCs w:val="24"/>
        </w:rPr>
        <w:t>This toolkit’s focus is on Long-term Care (LTC)/Skilled Nursing Facilities; however, organizations that own or operate any of the other entities covered by Appendix Z will need to coordinate efforts to insure any entity-specific regulations are also met.  Non-regulated entities under the organization’s ownership or operation will also need to be addressed.</w:t>
      </w:r>
    </w:p>
    <w:p w:rsidR="000E34EC" w:rsidRPr="00DE75EB" w:rsidRDefault="000E34EC" w:rsidP="000E34EC">
      <w:pPr>
        <w:pStyle w:val="NoSpacing"/>
        <w:rPr>
          <w:sz w:val="24"/>
          <w:szCs w:val="24"/>
        </w:rPr>
      </w:pPr>
    </w:p>
    <w:p w:rsidR="000E34EC" w:rsidRPr="00DE75EB" w:rsidRDefault="000E34EC" w:rsidP="000E34EC">
      <w:pPr>
        <w:pStyle w:val="NoSpacing"/>
        <w:rPr>
          <w:sz w:val="24"/>
          <w:szCs w:val="24"/>
        </w:rPr>
      </w:pPr>
      <w:r w:rsidRPr="00DE75EB">
        <w:rPr>
          <w:sz w:val="24"/>
          <w:szCs w:val="24"/>
        </w:rPr>
        <w:t>42 CFR §483.73 is associated with F517 and F518 in the State Operations Manual in effect until November 28, 2017.  The complete requirement is below.  The toolkit will expand upon each of the associated 4 core elements in the designated chapters.</w:t>
      </w:r>
    </w:p>
    <w:p w:rsidR="000E34EC" w:rsidRPr="00DE75EB" w:rsidRDefault="000E34EC" w:rsidP="000E34EC">
      <w:pPr>
        <w:pStyle w:val="NoSpacing"/>
        <w:rPr>
          <w:sz w:val="24"/>
          <w:szCs w:val="24"/>
        </w:rPr>
      </w:pPr>
    </w:p>
    <w:p w:rsidR="000E34EC" w:rsidRPr="00DE75EB" w:rsidRDefault="000E34EC" w:rsidP="000E34EC">
      <w:pPr>
        <w:shd w:val="clear" w:color="auto" w:fill="FFFFFF"/>
        <w:spacing w:before="200" w:after="100"/>
        <w:outlineLvl w:val="1"/>
        <w:rPr>
          <w:rFonts w:asciiTheme="minorHAnsi" w:hAnsiTheme="minorHAnsi" w:cs="Arial"/>
          <w:b/>
          <w:bCs/>
          <w:color w:val="000000"/>
          <w:szCs w:val="24"/>
        </w:rPr>
      </w:pPr>
      <w:r w:rsidRPr="00DE75EB">
        <w:rPr>
          <w:rFonts w:asciiTheme="minorHAnsi" w:hAnsiTheme="minorHAnsi" w:cs="Arial"/>
          <w:b/>
          <w:bCs/>
          <w:color w:val="000000"/>
          <w:szCs w:val="24"/>
        </w:rPr>
        <w:t>§483.73   Emergency preparedness.</w:t>
      </w:r>
    </w:p>
    <w:p w:rsidR="000E34EC" w:rsidRPr="00DE75EB" w:rsidRDefault="000E34EC" w:rsidP="000E34EC">
      <w:pPr>
        <w:shd w:val="clear" w:color="auto" w:fill="FFFFFF"/>
        <w:spacing w:before="100" w:beforeAutospacing="1" w:after="100" w:afterAutospacing="1"/>
        <w:ind w:firstLine="480"/>
        <w:rPr>
          <w:rFonts w:asciiTheme="minorHAnsi" w:hAnsiTheme="minorHAnsi" w:cs="Arial"/>
          <w:color w:val="000000"/>
          <w:szCs w:val="24"/>
        </w:rPr>
      </w:pPr>
      <w:r w:rsidRPr="00DE75EB">
        <w:rPr>
          <w:rFonts w:asciiTheme="minorHAnsi" w:hAnsiTheme="minorHAnsi" w:cs="Arial"/>
          <w:color w:val="000000"/>
          <w:szCs w:val="24"/>
        </w:rPr>
        <w:t>The LTC facility must comply with all applicable Federal, State and local emergency preparedness requirements. The LTC facility must establish and maintain an emergency preparedness program that meets the requirements of this section. The emergency preparedness program must include, but not be limited to, the following elements:</w:t>
      </w:r>
    </w:p>
    <w:p w:rsidR="000E34EC" w:rsidRPr="00DE75EB" w:rsidRDefault="000E34EC" w:rsidP="004127D9">
      <w:pPr>
        <w:pStyle w:val="ListParagraph"/>
        <w:numPr>
          <w:ilvl w:val="0"/>
          <w:numId w:val="8"/>
        </w:numPr>
        <w:shd w:val="clear" w:color="auto" w:fill="FFFFFF"/>
        <w:spacing w:before="100" w:beforeAutospacing="1" w:after="100" w:afterAutospacing="1"/>
        <w:rPr>
          <w:rFonts w:asciiTheme="minorHAnsi" w:hAnsiTheme="minorHAnsi" w:cs="Arial"/>
          <w:color w:val="000000"/>
          <w:szCs w:val="24"/>
        </w:rPr>
      </w:pPr>
      <w:r w:rsidRPr="00DE75EB">
        <w:rPr>
          <w:rFonts w:asciiTheme="minorHAnsi" w:hAnsiTheme="minorHAnsi" w:cs="Arial"/>
          <w:i/>
          <w:iCs/>
          <w:color w:val="000000"/>
          <w:szCs w:val="24"/>
        </w:rPr>
        <w:t>Emergency plan.</w:t>
      </w:r>
      <w:r w:rsidRPr="00DE75EB">
        <w:rPr>
          <w:rFonts w:asciiTheme="minorHAnsi" w:hAnsiTheme="minorHAnsi" w:cs="Arial"/>
          <w:color w:val="000000"/>
          <w:szCs w:val="24"/>
        </w:rPr>
        <w:t xml:space="preserve"> The LTC facility must develop and maintain an emergency preparedness plan that must be reviewed, and updated at least annually. The plan must do </w:t>
      </w:r>
      <w:proofErr w:type="gramStart"/>
      <w:r w:rsidRPr="00DE75EB">
        <w:rPr>
          <w:rFonts w:asciiTheme="minorHAnsi" w:hAnsiTheme="minorHAnsi" w:cs="Arial"/>
          <w:color w:val="000000"/>
          <w:szCs w:val="24"/>
        </w:rPr>
        <w:t>all of</w:t>
      </w:r>
      <w:proofErr w:type="gramEnd"/>
      <w:r w:rsidRPr="00DE75EB">
        <w:rPr>
          <w:rFonts w:asciiTheme="minorHAnsi" w:hAnsiTheme="minorHAnsi" w:cs="Arial"/>
          <w:color w:val="000000"/>
          <w:szCs w:val="24"/>
        </w:rPr>
        <w:t xml:space="preserve"> the following:</w:t>
      </w:r>
    </w:p>
    <w:p w:rsidR="000E34EC" w:rsidRPr="00DE75EB" w:rsidRDefault="000E34EC" w:rsidP="004127D9">
      <w:pPr>
        <w:pStyle w:val="ListParagraph"/>
        <w:numPr>
          <w:ilvl w:val="0"/>
          <w:numId w:val="7"/>
        </w:numPr>
        <w:shd w:val="clear" w:color="auto" w:fill="FFFFFF"/>
        <w:spacing w:before="100" w:beforeAutospacing="1" w:after="100" w:afterAutospacing="1"/>
        <w:rPr>
          <w:rFonts w:asciiTheme="minorHAnsi" w:hAnsiTheme="minorHAnsi" w:cs="Arial"/>
          <w:color w:val="000000"/>
          <w:szCs w:val="24"/>
        </w:rPr>
      </w:pPr>
      <w:r w:rsidRPr="00DE75EB">
        <w:rPr>
          <w:rFonts w:asciiTheme="minorHAnsi" w:hAnsiTheme="minorHAnsi" w:cs="Arial"/>
          <w:color w:val="000000"/>
          <w:szCs w:val="24"/>
        </w:rPr>
        <w:t>Be based on and include a documented, facility-based and community-based risk assessment, utilizing an all-hazards approach, including missing residents.</w:t>
      </w:r>
    </w:p>
    <w:p w:rsidR="000E34EC" w:rsidRPr="00DE75EB" w:rsidRDefault="000E34EC" w:rsidP="004127D9">
      <w:pPr>
        <w:pStyle w:val="ListParagraph"/>
        <w:numPr>
          <w:ilvl w:val="0"/>
          <w:numId w:val="7"/>
        </w:numPr>
        <w:shd w:val="clear" w:color="auto" w:fill="FFFFFF"/>
        <w:spacing w:before="100" w:beforeAutospacing="1" w:after="100" w:afterAutospacing="1"/>
        <w:rPr>
          <w:rFonts w:asciiTheme="minorHAnsi" w:hAnsiTheme="minorHAnsi" w:cs="Arial"/>
          <w:color w:val="000000"/>
          <w:szCs w:val="24"/>
        </w:rPr>
      </w:pPr>
      <w:r w:rsidRPr="00DE75EB">
        <w:rPr>
          <w:rFonts w:asciiTheme="minorHAnsi" w:hAnsiTheme="minorHAnsi" w:cs="Arial"/>
          <w:color w:val="000000"/>
          <w:szCs w:val="24"/>
        </w:rPr>
        <w:t>Include strategies for addressing emergency events identified by the risk assessment.</w:t>
      </w:r>
    </w:p>
    <w:p w:rsidR="000E34EC" w:rsidRPr="00DE75EB" w:rsidRDefault="000E34EC" w:rsidP="004127D9">
      <w:pPr>
        <w:pStyle w:val="ListParagraph"/>
        <w:numPr>
          <w:ilvl w:val="0"/>
          <w:numId w:val="7"/>
        </w:numPr>
        <w:shd w:val="clear" w:color="auto" w:fill="FFFFFF"/>
        <w:spacing w:before="100" w:beforeAutospacing="1" w:after="100" w:afterAutospacing="1"/>
        <w:rPr>
          <w:rFonts w:asciiTheme="minorHAnsi" w:hAnsiTheme="minorHAnsi" w:cs="Arial"/>
          <w:color w:val="000000"/>
          <w:szCs w:val="24"/>
        </w:rPr>
      </w:pPr>
      <w:r w:rsidRPr="00DE75EB">
        <w:rPr>
          <w:rFonts w:asciiTheme="minorHAnsi" w:hAnsiTheme="minorHAnsi" w:cs="Arial"/>
          <w:color w:val="000000"/>
          <w:szCs w:val="24"/>
        </w:rPr>
        <w:lastRenderedPageBreak/>
        <w:t xml:space="preserve">Address resident population, including, but not limited to, persons at-risk; the type of services the LTC facility </w:t>
      </w:r>
      <w:proofErr w:type="gramStart"/>
      <w:r w:rsidRPr="00DE75EB">
        <w:rPr>
          <w:rFonts w:asciiTheme="minorHAnsi" w:hAnsiTheme="minorHAnsi" w:cs="Arial"/>
          <w:color w:val="000000"/>
          <w:szCs w:val="24"/>
        </w:rPr>
        <w:t>has the ability to</w:t>
      </w:r>
      <w:proofErr w:type="gramEnd"/>
      <w:r w:rsidRPr="00DE75EB">
        <w:rPr>
          <w:rFonts w:asciiTheme="minorHAnsi" w:hAnsiTheme="minorHAnsi" w:cs="Arial"/>
          <w:color w:val="000000"/>
          <w:szCs w:val="24"/>
        </w:rPr>
        <w:t xml:space="preserve"> provide in an emergency; and continuity of operations, including delegations of authority and succession plans.</w:t>
      </w:r>
    </w:p>
    <w:p w:rsidR="00DE75EB" w:rsidRDefault="000E34EC" w:rsidP="004127D9">
      <w:pPr>
        <w:pStyle w:val="ListParagraph"/>
        <w:numPr>
          <w:ilvl w:val="0"/>
          <w:numId w:val="7"/>
        </w:numPr>
        <w:shd w:val="clear" w:color="auto" w:fill="FFFFFF"/>
        <w:spacing w:before="100" w:beforeAutospacing="1" w:after="100" w:afterAutospacing="1"/>
        <w:rPr>
          <w:rFonts w:asciiTheme="minorHAnsi" w:hAnsiTheme="minorHAnsi" w:cs="Arial"/>
          <w:color w:val="000000"/>
          <w:szCs w:val="24"/>
        </w:rPr>
      </w:pPr>
      <w:r w:rsidRPr="00DE75EB">
        <w:rPr>
          <w:rFonts w:asciiTheme="minorHAnsi" w:hAnsiTheme="minorHAnsi" w:cs="Arial"/>
          <w:color w:val="000000"/>
          <w:szCs w:val="24"/>
        </w:rPr>
        <w:t xml:space="preserve">Include a process for cooperation and collaboration with local, tribal, regional, State, or Federal emergency preparedness officials' efforts to maintain an integrated response during a disaster or </w:t>
      </w:r>
      <w:proofErr w:type="gramStart"/>
      <w:r w:rsidRPr="00DE75EB">
        <w:rPr>
          <w:rFonts w:asciiTheme="minorHAnsi" w:hAnsiTheme="minorHAnsi" w:cs="Arial"/>
          <w:color w:val="000000"/>
          <w:szCs w:val="24"/>
        </w:rPr>
        <w:t>emergency situation</w:t>
      </w:r>
      <w:proofErr w:type="gramEnd"/>
      <w:r w:rsidRPr="00DE75EB">
        <w:rPr>
          <w:rFonts w:asciiTheme="minorHAnsi" w:hAnsiTheme="minorHAnsi" w:cs="Arial"/>
          <w:color w:val="000000"/>
          <w:szCs w:val="24"/>
        </w:rPr>
        <w:t>, including documentation of the LTC facility's efforts to contact such officials and, when applicable, of its participation in collaborative and cooperative planning efforts.</w:t>
      </w:r>
    </w:p>
    <w:p w:rsidR="000E34EC" w:rsidRPr="00DE75EB" w:rsidRDefault="00DE75EB" w:rsidP="004127D9">
      <w:pPr>
        <w:pStyle w:val="ListParagraph"/>
        <w:numPr>
          <w:ilvl w:val="0"/>
          <w:numId w:val="8"/>
        </w:numPr>
        <w:shd w:val="clear" w:color="auto" w:fill="FFFFFF"/>
        <w:spacing w:before="100" w:beforeAutospacing="1" w:after="100" w:afterAutospacing="1"/>
        <w:rPr>
          <w:rFonts w:asciiTheme="minorHAnsi" w:hAnsiTheme="minorHAnsi" w:cs="Arial"/>
          <w:color w:val="000000"/>
          <w:szCs w:val="24"/>
        </w:rPr>
      </w:pPr>
      <w:r>
        <w:rPr>
          <w:rFonts w:asciiTheme="minorHAnsi" w:hAnsiTheme="minorHAnsi" w:cs="Arial"/>
          <w:i/>
          <w:iCs/>
          <w:color w:val="000000"/>
          <w:szCs w:val="24"/>
        </w:rPr>
        <w:t xml:space="preserve">The </w:t>
      </w:r>
      <w:r w:rsidR="000E34EC" w:rsidRPr="00DE75EB">
        <w:rPr>
          <w:rFonts w:asciiTheme="minorHAnsi" w:hAnsiTheme="minorHAnsi" w:cs="Arial"/>
          <w:i/>
          <w:iCs/>
          <w:color w:val="000000"/>
          <w:szCs w:val="24"/>
        </w:rPr>
        <w:t>Policies and procedures.</w:t>
      </w:r>
      <w:r w:rsidR="000E34EC" w:rsidRPr="00DE75EB">
        <w:rPr>
          <w:rFonts w:asciiTheme="minorHAnsi" w:hAnsiTheme="minorHAnsi" w:cs="Arial"/>
          <w:color w:val="000000"/>
          <w:szCs w:val="24"/>
        </w:rPr>
        <w:t> The LTC facility must develop and implement emergency preparedness policies and procedures, based on the emergency plan set forth in paragraph (a) of this section, risk assessment at paragraph (a)(1) of this section, and the communication plan at paragraph (c) of this section. The policies and procedures must be reviewed and updated at least annually. At a minimum, the policies and procedures must address the following:</w:t>
      </w:r>
    </w:p>
    <w:p w:rsidR="000E34EC" w:rsidRPr="0098438E" w:rsidRDefault="000E34EC" w:rsidP="004127D9">
      <w:pPr>
        <w:pStyle w:val="ListParagraph"/>
        <w:numPr>
          <w:ilvl w:val="0"/>
          <w:numId w:val="9"/>
        </w:numPr>
        <w:shd w:val="clear" w:color="auto" w:fill="FFFFFF"/>
        <w:spacing w:before="100" w:beforeAutospacing="1"/>
        <w:ind w:left="1195"/>
        <w:rPr>
          <w:rFonts w:asciiTheme="minorHAnsi" w:hAnsiTheme="minorHAnsi" w:cs="Arial"/>
          <w:color w:val="000000"/>
          <w:szCs w:val="24"/>
        </w:rPr>
      </w:pPr>
      <w:r w:rsidRPr="0098438E">
        <w:rPr>
          <w:rFonts w:asciiTheme="minorHAnsi" w:hAnsiTheme="minorHAnsi" w:cs="Arial"/>
          <w:color w:val="000000"/>
          <w:szCs w:val="24"/>
        </w:rPr>
        <w:t>The provision of subsistence needs for staff and residents, whether they evacuate or shelter in place, include, but are not limited to the following:</w:t>
      </w:r>
    </w:p>
    <w:p w:rsidR="000E34EC" w:rsidRPr="0098438E" w:rsidRDefault="000E34EC" w:rsidP="004127D9">
      <w:pPr>
        <w:pStyle w:val="ListParagraph"/>
        <w:numPr>
          <w:ilvl w:val="0"/>
          <w:numId w:val="10"/>
        </w:numPr>
        <w:shd w:val="clear" w:color="auto" w:fill="FFFFFF"/>
        <w:spacing w:after="100" w:afterAutospacing="1"/>
        <w:ind w:left="1715"/>
        <w:rPr>
          <w:rFonts w:asciiTheme="minorHAnsi" w:hAnsiTheme="minorHAnsi" w:cs="Arial"/>
          <w:color w:val="000000"/>
          <w:szCs w:val="24"/>
        </w:rPr>
      </w:pPr>
      <w:r w:rsidRPr="0098438E">
        <w:rPr>
          <w:rFonts w:asciiTheme="minorHAnsi" w:hAnsiTheme="minorHAnsi" w:cs="Arial"/>
          <w:color w:val="000000"/>
          <w:szCs w:val="24"/>
        </w:rPr>
        <w:t>Food, water, medical, and pharmaceutical supplies.</w:t>
      </w:r>
    </w:p>
    <w:p w:rsidR="000E34EC" w:rsidRPr="0098438E" w:rsidRDefault="000E34EC" w:rsidP="004127D9">
      <w:pPr>
        <w:pStyle w:val="ListParagraph"/>
        <w:numPr>
          <w:ilvl w:val="0"/>
          <w:numId w:val="10"/>
        </w:numPr>
        <w:shd w:val="clear" w:color="auto" w:fill="FFFFFF"/>
        <w:ind w:left="1720"/>
        <w:rPr>
          <w:rFonts w:asciiTheme="minorHAnsi" w:hAnsiTheme="minorHAnsi" w:cs="Arial"/>
          <w:color w:val="000000"/>
          <w:szCs w:val="24"/>
        </w:rPr>
      </w:pPr>
      <w:r w:rsidRPr="0098438E">
        <w:rPr>
          <w:rFonts w:asciiTheme="minorHAnsi" w:hAnsiTheme="minorHAnsi" w:cs="Arial"/>
          <w:color w:val="000000"/>
          <w:szCs w:val="24"/>
        </w:rPr>
        <w:t>Alternate sources of energy to maintain—</w:t>
      </w:r>
    </w:p>
    <w:p w:rsidR="000E34EC" w:rsidRPr="0098438E" w:rsidRDefault="000E34EC" w:rsidP="004127D9">
      <w:pPr>
        <w:pStyle w:val="ListParagraph"/>
        <w:numPr>
          <w:ilvl w:val="0"/>
          <w:numId w:val="11"/>
        </w:numPr>
        <w:shd w:val="clear" w:color="auto" w:fill="FFFFFF"/>
        <w:ind w:left="1960"/>
        <w:rPr>
          <w:rFonts w:asciiTheme="minorHAnsi" w:hAnsiTheme="minorHAnsi" w:cs="Arial"/>
          <w:color w:val="000000"/>
          <w:szCs w:val="24"/>
        </w:rPr>
      </w:pPr>
      <w:r w:rsidRPr="0098438E">
        <w:rPr>
          <w:rFonts w:asciiTheme="minorHAnsi" w:hAnsiTheme="minorHAnsi" w:cs="Arial"/>
          <w:color w:val="000000"/>
          <w:szCs w:val="24"/>
        </w:rPr>
        <w:t>Temperatures to protect resident health and safety and for the safe and sanitary storage of provisions;</w:t>
      </w:r>
    </w:p>
    <w:p w:rsidR="000E34EC" w:rsidRPr="0098438E" w:rsidRDefault="000E34EC" w:rsidP="004127D9">
      <w:pPr>
        <w:pStyle w:val="ListParagraph"/>
        <w:numPr>
          <w:ilvl w:val="0"/>
          <w:numId w:val="11"/>
        </w:numPr>
        <w:shd w:val="clear" w:color="auto" w:fill="FFFFFF"/>
        <w:spacing w:before="100" w:beforeAutospacing="1" w:after="100" w:afterAutospacing="1"/>
        <w:ind w:left="1960"/>
        <w:rPr>
          <w:rFonts w:asciiTheme="minorHAnsi" w:hAnsiTheme="minorHAnsi" w:cs="Arial"/>
          <w:color w:val="000000"/>
          <w:szCs w:val="24"/>
        </w:rPr>
      </w:pPr>
      <w:r w:rsidRPr="0098438E">
        <w:rPr>
          <w:rFonts w:asciiTheme="minorHAnsi" w:hAnsiTheme="minorHAnsi" w:cs="Arial"/>
          <w:color w:val="000000"/>
          <w:szCs w:val="24"/>
        </w:rPr>
        <w:t>Emergency lighting;</w:t>
      </w:r>
    </w:p>
    <w:p w:rsidR="000E34EC" w:rsidRPr="0098438E" w:rsidRDefault="000E34EC" w:rsidP="004127D9">
      <w:pPr>
        <w:pStyle w:val="ListParagraph"/>
        <w:numPr>
          <w:ilvl w:val="0"/>
          <w:numId w:val="11"/>
        </w:numPr>
        <w:shd w:val="clear" w:color="auto" w:fill="FFFFFF"/>
        <w:spacing w:before="100" w:beforeAutospacing="1" w:after="100" w:afterAutospacing="1"/>
        <w:ind w:left="1960"/>
        <w:rPr>
          <w:rFonts w:asciiTheme="minorHAnsi" w:hAnsiTheme="minorHAnsi" w:cs="Arial"/>
          <w:color w:val="000000"/>
          <w:szCs w:val="24"/>
        </w:rPr>
      </w:pPr>
      <w:r w:rsidRPr="0098438E">
        <w:rPr>
          <w:rFonts w:asciiTheme="minorHAnsi" w:hAnsiTheme="minorHAnsi" w:cs="Arial"/>
          <w:color w:val="000000"/>
          <w:szCs w:val="24"/>
        </w:rPr>
        <w:t>Fire detection, extinguishing, and alarm systems; and</w:t>
      </w:r>
    </w:p>
    <w:p w:rsidR="000E34EC" w:rsidRPr="0098438E" w:rsidRDefault="000E34EC" w:rsidP="004127D9">
      <w:pPr>
        <w:pStyle w:val="ListParagraph"/>
        <w:numPr>
          <w:ilvl w:val="0"/>
          <w:numId w:val="11"/>
        </w:numPr>
        <w:shd w:val="clear" w:color="auto" w:fill="FFFFFF"/>
        <w:spacing w:before="100" w:beforeAutospacing="1" w:after="100" w:afterAutospacing="1"/>
        <w:ind w:left="1960"/>
        <w:rPr>
          <w:rFonts w:asciiTheme="minorHAnsi" w:hAnsiTheme="minorHAnsi" w:cs="Arial"/>
          <w:color w:val="000000"/>
          <w:szCs w:val="24"/>
        </w:rPr>
      </w:pPr>
      <w:r w:rsidRPr="0098438E">
        <w:rPr>
          <w:rFonts w:asciiTheme="minorHAnsi" w:hAnsiTheme="minorHAnsi" w:cs="Arial"/>
          <w:color w:val="000000"/>
          <w:szCs w:val="24"/>
        </w:rPr>
        <w:t>Sewage and waste disposal.</w:t>
      </w:r>
    </w:p>
    <w:p w:rsidR="0098438E" w:rsidRPr="0098438E" w:rsidRDefault="000E34EC" w:rsidP="004127D9">
      <w:pPr>
        <w:pStyle w:val="ListParagraph"/>
        <w:numPr>
          <w:ilvl w:val="0"/>
          <w:numId w:val="9"/>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(2) A system to track the location of on-duty staff and sheltered residents in the LTC facility's care during and after an emergency. If on-duty staff and sheltered residents are relocated during the emergency, the LTC facility must document the specific name and location of the receiving facility or other location.</w:t>
      </w:r>
    </w:p>
    <w:p w:rsidR="000E34EC" w:rsidRPr="0098438E" w:rsidRDefault="000E34EC" w:rsidP="004127D9">
      <w:pPr>
        <w:pStyle w:val="ListParagraph"/>
        <w:numPr>
          <w:ilvl w:val="0"/>
          <w:numId w:val="9"/>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(3) Safe evacuation from the LTC facility, which includes consideration of care and treatment needs of evacuees; staff responsibilities; transportation; identification of evacuation location(s); and primary and alternate means of communication with external sources of assistance.</w:t>
      </w:r>
    </w:p>
    <w:p w:rsidR="000E34EC" w:rsidRPr="0098438E" w:rsidRDefault="000E34EC" w:rsidP="004127D9">
      <w:pPr>
        <w:pStyle w:val="ListParagraph"/>
        <w:numPr>
          <w:ilvl w:val="0"/>
          <w:numId w:val="9"/>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(4) A means to shelter in place for residents, staff, and volunteers who remain in the LTC facility.</w:t>
      </w:r>
    </w:p>
    <w:p w:rsidR="000E34EC" w:rsidRPr="0098438E" w:rsidRDefault="000E34EC" w:rsidP="004127D9">
      <w:pPr>
        <w:pStyle w:val="ListParagraph"/>
        <w:numPr>
          <w:ilvl w:val="0"/>
          <w:numId w:val="9"/>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(5) A system of medical documentation that preserves resident information, protects confidentiality of resident information, and secures and maintains the availability of records.</w:t>
      </w:r>
    </w:p>
    <w:p w:rsidR="000E34EC" w:rsidRPr="0098438E" w:rsidRDefault="000E34EC" w:rsidP="004127D9">
      <w:pPr>
        <w:pStyle w:val="ListParagraph"/>
        <w:numPr>
          <w:ilvl w:val="0"/>
          <w:numId w:val="9"/>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lastRenderedPageBreak/>
        <w:t>(6) The use of volunteers in an emergency or other emergency staffing strategies, including the process and role for integration of State or Federally designated health care professionals to address surge needs during an emergency.</w:t>
      </w:r>
    </w:p>
    <w:p w:rsidR="000E34EC" w:rsidRPr="0098438E" w:rsidRDefault="000E34EC" w:rsidP="004127D9">
      <w:pPr>
        <w:pStyle w:val="ListParagraph"/>
        <w:numPr>
          <w:ilvl w:val="0"/>
          <w:numId w:val="9"/>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(7) The development of arrangements with other LTC facilities and other providers to receive residents in the event of limitations or cessation of operations to maintain the continuity of services to LTC residents.</w:t>
      </w:r>
    </w:p>
    <w:p w:rsidR="000E34EC" w:rsidRPr="0098438E" w:rsidRDefault="000E34EC" w:rsidP="004127D9">
      <w:pPr>
        <w:pStyle w:val="ListParagraph"/>
        <w:numPr>
          <w:ilvl w:val="0"/>
          <w:numId w:val="9"/>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(8) The role of the LTC facility under a waiver declared by the Secretary, in accordance with section 1135 of the Act, in the provision of care and treatment at an alternate care site identified by emergency management officials.</w:t>
      </w:r>
    </w:p>
    <w:p w:rsidR="000E34EC" w:rsidRPr="0098438E" w:rsidRDefault="000E34EC" w:rsidP="004127D9">
      <w:pPr>
        <w:pStyle w:val="ListParagraph"/>
        <w:numPr>
          <w:ilvl w:val="0"/>
          <w:numId w:val="8"/>
        </w:numPr>
        <w:shd w:val="clear" w:color="auto" w:fill="FFFFFF"/>
        <w:spacing w:before="100" w:beforeAutospacing="1" w:after="100" w:afterAutospacing="1"/>
        <w:rPr>
          <w:rFonts w:asciiTheme="minorHAnsi" w:hAnsiTheme="minorHAnsi" w:cs="Arial"/>
          <w:color w:val="000000"/>
          <w:szCs w:val="24"/>
        </w:rPr>
      </w:pPr>
      <w:r w:rsidRPr="0098438E">
        <w:rPr>
          <w:rFonts w:asciiTheme="minorHAnsi" w:hAnsiTheme="minorHAnsi" w:cs="Arial"/>
          <w:i/>
          <w:iCs/>
          <w:color w:val="000000"/>
          <w:szCs w:val="24"/>
        </w:rPr>
        <w:t>Communication plan.</w:t>
      </w:r>
      <w:r w:rsidRPr="0098438E">
        <w:rPr>
          <w:rFonts w:asciiTheme="minorHAnsi" w:hAnsiTheme="minorHAnsi" w:cs="Arial"/>
          <w:color w:val="000000"/>
          <w:szCs w:val="24"/>
        </w:rPr>
        <w:t xml:space="preserve"> The LTC facility must develop and maintain an emergency preparedness communication plan that complies with Federal, State, and local laws and must be reviewed and updated at least annually. The communication plan must include </w:t>
      </w:r>
      <w:proofErr w:type="gramStart"/>
      <w:r w:rsidRPr="0098438E">
        <w:rPr>
          <w:rFonts w:asciiTheme="minorHAnsi" w:hAnsiTheme="minorHAnsi" w:cs="Arial"/>
          <w:color w:val="000000"/>
          <w:szCs w:val="24"/>
        </w:rPr>
        <w:t>all of</w:t>
      </w:r>
      <w:proofErr w:type="gramEnd"/>
      <w:r w:rsidRPr="0098438E">
        <w:rPr>
          <w:rFonts w:asciiTheme="minorHAnsi" w:hAnsiTheme="minorHAnsi" w:cs="Arial"/>
          <w:color w:val="000000"/>
          <w:szCs w:val="24"/>
        </w:rPr>
        <w:t xml:space="preserve"> the following:</w:t>
      </w:r>
    </w:p>
    <w:p w:rsidR="000E34EC" w:rsidRPr="0098438E" w:rsidRDefault="000E34EC" w:rsidP="004127D9">
      <w:pPr>
        <w:pStyle w:val="ListParagraph"/>
        <w:numPr>
          <w:ilvl w:val="0"/>
          <w:numId w:val="12"/>
        </w:numPr>
        <w:shd w:val="clear" w:color="auto" w:fill="FFFFFF"/>
        <w:spacing w:before="100" w:beforeAutospacing="1"/>
        <w:ind w:left="1195"/>
        <w:rPr>
          <w:rFonts w:asciiTheme="minorHAnsi" w:hAnsiTheme="minorHAnsi" w:cs="Arial"/>
          <w:color w:val="000000"/>
          <w:szCs w:val="24"/>
        </w:rPr>
      </w:pPr>
      <w:r w:rsidRPr="0098438E">
        <w:rPr>
          <w:rFonts w:asciiTheme="minorHAnsi" w:hAnsiTheme="minorHAnsi" w:cs="Arial"/>
          <w:color w:val="000000"/>
          <w:szCs w:val="24"/>
        </w:rPr>
        <w:t>Names and contact information for the following:</w:t>
      </w:r>
    </w:p>
    <w:p w:rsidR="000E34EC" w:rsidRPr="0098438E" w:rsidRDefault="000E34EC" w:rsidP="004127D9">
      <w:pPr>
        <w:pStyle w:val="ListParagraph"/>
        <w:numPr>
          <w:ilvl w:val="0"/>
          <w:numId w:val="13"/>
        </w:numPr>
        <w:shd w:val="clear" w:color="auto" w:fill="FFFFFF"/>
        <w:ind w:left="1555"/>
        <w:rPr>
          <w:rFonts w:asciiTheme="minorHAnsi" w:hAnsiTheme="minorHAnsi" w:cs="Arial"/>
          <w:color w:val="000000"/>
          <w:szCs w:val="24"/>
        </w:rPr>
      </w:pPr>
      <w:r w:rsidRPr="0098438E">
        <w:rPr>
          <w:rFonts w:asciiTheme="minorHAnsi" w:hAnsiTheme="minorHAnsi" w:cs="Arial"/>
          <w:color w:val="000000"/>
          <w:szCs w:val="24"/>
        </w:rPr>
        <w:t>Staff.</w:t>
      </w:r>
    </w:p>
    <w:p w:rsidR="000E34EC" w:rsidRPr="0098438E" w:rsidRDefault="000E34EC" w:rsidP="004127D9">
      <w:pPr>
        <w:pStyle w:val="ListParagraph"/>
        <w:numPr>
          <w:ilvl w:val="0"/>
          <w:numId w:val="13"/>
        </w:numPr>
        <w:shd w:val="clear" w:color="auto" w:fill="FFFFFF"/>
        <w:spacing w:before="100" w:beforeAutospacing="1" w:after="100" w:afterAutospacing="1"/>
        <w:rPr>
          <w:rFonts w:asciiTheme="minorHAnsi" w:hAnsiTheme="minorHAnsi" w:cs="Arial"/>
          <w:color w:val="000000"/>
          <w:szCs w:val="24"/>
        </w:rPr>
      </w:pPr>
      <w:r w:rsidRPr="0098438E">
        <w:rPr>
          <w:rFonts w:asciiTheme="minorHAnsi" w:hAnsiTheme="minorHAnsi" w:cs="Arial"/>
          <w:color w:val="000000"/>
          <w:szCs w:val="24"/>
        </w:rPr>
        <w:t>Entities providing services under arrangement.</w:t>
      </w:r>
    </w:p>
    <w:p w:rsidR="000E34EC" w:rsidRPr="0098438E" w:rsidRDefault="000E34EC" w:rsidP="004127D9">
      <w:pPr>
        <w:pStyle w:val="ListParagraph"/>
        <w:numPr>
          <w:ilvl w:val="0"/>
          <w:numId w:val="13"/>
        </w:numPr>
        <w:shd w:val="clear" w:color="auto" w:fill="FFFFFF"/>
        <w:spacing w:before="100" w:beforeAutospacing="1" w:after="100" w:afterAutospacing="1"/>
        <w:rPr>
          <w:rFonts w:asciiTheme="minorHAnsi" w:hAnsiTheme="minorHAnsi" w:cs="Arial"/>
          <w:color w:val="000000"/>
          <w:szCs w:val="24"/>
        </w:rPr>
      </w:pPr>
      <w:r w:rsidRPr="0098438E">
        <w:rPr>
          <w:rFonts w:asciiTheme="minorHAnsi" w:hAnsiTheme="minorHAnsi" w:cs="Arial"/>
          <w:color w:val="000000"/>
          <w:szCs w:val="24"/>
        </w:rPr>
        <w:t>Residents' physicians.</w:t>
      </w:r>
    </w:p>
    <w:p w:rsidR="000E34EC" w:rsidRPr="0098438E" w:rsidRDefault="000E34EC" w:rsidP="004127D9">
      <w:pPr>
        <w:pStyle w:val="ListParagraph"/>
        <w:numPr>
          <w:ilvl w:val="0"/>
          <w:numId w:val="13"/>
        </w:numPr>
        <w:shd w:val="clear" w:color="auto" w:fill="FFFFFF"/>
        <w:spacing w:before="100" w:beforeAutospacing="1" w:after="100" w:afterAutospacing="1"/>
        <w:rPr>
          <w:rFonts w:asciiTheme="minorHAnsi" w:hAnsiTheme="minorHAnsi" w:cs="Arial"/>
          <w:color w:val="000000"/>
          <w:szCs w:val="24"/>
        </w:rPr>
      </w:pPr>
      <w:r w:rsidRPr="0098438E">
        <w:rPr>
          <w:rFonts w:asciiTheme="minorHAnsi" w:hAnsiTheme="minorHAnsi" w:cs="Arial"/>
          <w:color w:val="000000"/>
          <w:szCs w:val="24"/>
        </w:rPr>
        <w:t xml:space="preserve">Other </w:t>
      </w:r>
      <w:proofErr w:type="spellStart"/>
      <w:r w:rsidRPr="0098438E">
        <w:rPr>
          <w:rFonts w:asciiTheme="minorHAnsi" w:hAnsiTheme="minorHAnsi" w:cs="Arial"/>
          <w:color w:val="000000"/>
          <w:szCs w:val="24"/>
        </w:rPr>
        <w:t>LTC</w:t>
      </w:r>
      <w:proofErr w:type="spellEnd"/>
      <w:r w:rsidRPr="0098438E">
        <w:rPr>
          <w:rFonts w:asciiTheme="minorHAnsi" w:hAnsiTheme="minorHAnsi" w:cs="Arial"/>
          <w:color w:val="000000"/>
          <w:szCs w:val="24"/>
        </w:rPr>
        <w:t xml:space="preserve"> facilities.</w:t>
      </w:r>
    </w:p>
    <w:p w:rsidR="000E34EC" w:rsidRPr="0098438E" w:rsidRDefault="000E34EC" w:rsidP="004127D9">
      <w:pPr>
        <w:pStyle w:val="ListParagraph"/>
        <w:numPr>
          <w:ilvl w:val="0"/>
          <w:numId w:val="13"/>
        </w:numPr>
        <w:shd w:val="clear" w:color="auto" w:fill="FFFFFF"/>
        <w:spacing w:before="100" w:beforeAutospacing="1" w:after="100" w:afterAutospacing="1"/>
        <w:rPr>
          <w:rFonts w:asciiTheme="minorHAnsi" w:hAnsiTheme="minorHAnsi" w:cs="Arial"/>
          <w:color w:val="000000"/>
          <w:szCs w:val="24"/>
        </w:rPr>
      </w:pPr>
      <w:r w:rsidRPr="0098438E">
        <w:rPr>
          <w:rFonts w:asciiTheme="minorHAnsi" w:hAnsiTheme="minorHAnsi" w:cs="Arial"/>
          <w:color w:val="000000"/>
          <w:szCs w:val="24"/>
        </w:rPr>
        <w:t>Volunteers.</w:t>
      </w:r>
    </w:p>
    <w:p w:rsidR="000E34EC" w:rsidRPr="0098438E" w:rsidRDefault="000E34EC" w:rsidP="004127D9">
      <w:pPr>
        <w:pStyle w:val="ListParagraph"/>
        <w:numPr>
          <w:ilvl w:val="0"/>
          <w:numId w:val="12"/>
        </w:numPr>
        <w:shd w:val="clear" w:color="auto" w:fill="FFFFFF"/>
        <w:rPr>
          <w:rFonts w:asciiTheme="minorHAnsi" w:hAnsiTheme="minorHAnsi" w:cs="Arial"/>
          <w:color w:val="000000"/>
          <w:szCs w:val="24"/>
        </w:rPr>
      </w:pPr>
      <w:r w:rsidRPr="0098438E">
        <w:rPr>
          <w:rFonts w:asciiTheme="minorHAnsi" w:hAnsiTheme="minorHAnsi" w:cs="Arial"/>
          <w:color w:val="000000"/>
          <w:szCs w:val="24"/>
        </w:rPr>
        <w:t>Contact information for the following:</w:t>
      </w:r>
    </w:p>
    <w:p w:rsidR="000E34EC" w:rsidRPr="0098438E" w:rsidRDefault="000E34EC" w:rsidP="004127D9">
      <w:pPr>
        <w:pStyle w:val="ListParagraph"/>
        <w:numPr>
          <w:ilvl w:val="0"/>
          <w:numId w:val="14"/>
        </w:numPr>
        <w:shd w:val="clear" w:color="auto" w:fill="FFFFFF"/>
        <w:rPr>
          <w:rFonts w:asciiTheme="minorHAnsi" w:hAnsiTheme="minorHAnsi" w:cs="Arial"/>
          <w:color w:val="000000"/>
          <w:szCs w:val="24"/>
        </w:rPr>
      </w:pPr>
      <w:r w:rsidRPr="0098438E">
        <w:rPr>
          <w:rFonts w:asciiTheme="minorHAnsi" w:hAnsiTheme="minorHAnsi" w:cs="Arial"/>
          <w:color w:val="000000"/>
          <w:szCs w:val="24"/>
        </w:rPr>
        <w:t>Federal, State, tribal, regional, or local emergency preparedness staff.</w:t>
      </w:r>
    </w:p>
    <w:p w:rsidR="000E34EC" w:rsidRPr="0098438E" w:rsidRDefault="000E34EC" w:rsidP="004127D9">
      <w:pPr>
        <w:pStyle w:val="ListParagraph"/>
        <w:numPr>
          <w:ilvl w:val="0"/>
          <w:numId w:val="14"/>
        </w:numPr>
        <w:shd w:val="clear" w:color="auto" w:fill="FFFFFF"/>
        <w:rPr>
          <w:rFonts w:asciiTheme="minorHAnsi" w:hAnsiTheme="minorHAnsi" w:cs="Arial"/>
          <w:color w:val="000000"/>
          <w:szCs w:val="24"/>
        </w:rPr>
      </w:pPr>
      <w:r w:rsidRPr="0098438E">
        <w:rPr>
          <w:rFonts w:asciiTheme="minorHAnsi" w:hAnsiTheme="minorHAnsi" w:cs="Arial"/>
          <w:color w:val="000000"/>
          <w:szCs w:val="24"/>
        </w:rPr>
        <w:t>The State Licensing and Certification Agency.</w:t>
      </w:r>
    </w:p>
    <w:p w:rsidR="000E34EC" w:rsidRPr="0098438E" w:rsidRDefault="000E34EC" w:rsidP="004127D9">
      <w:pPr>
        <w:pStyle w:val="ListParagraph"/>
        <w:numPr>
          <w:ilvl w:val="0"/>
          <w:numId w:val="14"/>
        </w:numPr>
        <w:shd w:val="clear" w:color="auto" w:fill="FFFFFF"/>
        <w:rPr>
          <w:rFonts w:asciiTheme="minorHAnsi" w:hAnsiTheme="minorHAnsi" w:cs="Arial"/>
          <w:color w:val="000000"/>
          <w:szCs w:val="24"/>
        </w:rPr>
      </w:pPr>
      <w:r w:rsidRPr="0098438E">
        <w:rPr>
          <w:rFonts w:asciiTheme="minorHAnsi" w:hAnsiTheme="minorHAnsi" w:cs="Arial"/>
          <w:color w:val="000000"/>
          <w:szCs w:val="24"/>
        </w:rPr>
        <w:t>The Office of the State Long-Term Care Ombudsman.</w:t>
      </w:r>
    </w:p>
    <w:p w:rsidR="000E34EC" w:rsidRDefault="000E34EC" w:rsidP="004127D9">
      <w:pPr>
        <w:pStyle w:val="ListParagraph"/>
        <w:numPr>
          <w:ilvl w:val="0"/>
          <w:numId w:val="14"/>
        </w:numPr>
        <w:shd w:val="clear" w:color="auto" w:fill="FFFFFF"/>
        <w:rPr>
          <w:rFonts w:asciiTheme="minorHAnsi" w:hAnsiTheme="minorHAnsi" w:cs="Arial"/>
          <w:color w:val="000000"/>
          <w:szCs w:val="24"/>
        </w:rPr>
      </w:pPr>
      <w:r w:rsidRPr="0098438E">
        <w:rPr>
          <w:rFonts w:asciiTheme="minorHAnsi" w:hAnsiTheme="minorHAnsi" w:cs="Arial"/>
          <w:color w:val="000000"/>
          <w:szCs w:val="24"/>
        </w:rPr>
        <w:t>Other sources of assistance.</w:t>
      </w:r>
    </w:p>
    <w:p w:rsidR="0098438E" w:rsidRPr="0098438E" w:rsidRDefault="0098438E" w:rsidP="0098438E">
      <w:pPr>
        <w:pStyle w:val="ListParagraph"/>
        <w:shd w:val="clear" w:color="auto" w:fill="FFFFFF"/>
        <w:ind w:left="1560"/>
        <w:rPr>
          <w:rFonts w:asciiTheme="minorHAnsi" w:hAnsiTheme="minorHAnsi" w:cs="Arial"/>
          <w:color w:val="000000"/>
          <w:szCs w:val="24"/>
        </w:rPr>
      </w:pPr>
    </w:p>
    <w:p w:rsidR="000E34EC" w:rsidRPr="0098438E" w:rsidRDefault="000E34EC" w:rsidP="004127D9">
      <w:pPr>
        <w:pStyle w:val="ListParagraph"/>
        <w:numPr>
          <w:ilvl w:val="0"/>
          <w:numId w:val="12"/>
        </w:numPr>
        <w:shd w:val="clear" w:color="auto" w:fill="FFFFFF"/>
        <w:rPr>
          <w:rFonts w:asciiTheme="minorHAnsi" w:hAnsiTheme="minorHAnsi" w:cs="Arial"/>
          <w:color w:val="000000"/>
          <w:szCs w:val="24"/>
        </w:rPr>
      </w:pPr>
      <w:r w:rsidRPr="0098438E">
        <w:rPr>
          <w:rFonts w:asciiTheme="minorHAnsi" w:hAnsiTheme="minorHAnsi" w:cs="Arial"/>
          <w:color w:val="000000"/>
          <w:szCs w:val="24"/>
        </w:rPr>
        <w:t>Primary and alternate means for communicating with the following:</w:t>
      </w:r>
    </w:p>
    <w:p w:rsidR="000E34EC" w:rsidRPr="0098438E" w:rsidRDefault="000E34EC" w:rsidP="004127D9">
      <w:pPr>
        <w:pStyle w:val="ListParagraph"/>
        <w:numPr>
          <w:ilvl w:val="0"/>
          <w:numId w:val="15"/>
        </w:numPr>
        <w:shd w:val="clear" w:color="auto" w:fill="FFFFFF"/>
        <w:rPr>
          <w:rFonts w:asciiTheme="minorHAnsi" w:hAnsiTheme="minorHAnsi" w:cs="Arial"/>
          <w:color w:val="000000"/>
          <w:szCs w:val="24"/>
        </w:rPr>
      </w:pPr>
      <w:proofErr w:type="spellStart"/>
      <w:r w:rsidRPr="0098438E">
        <w:rPr>
          <w:rFonts w:asciiTheme="minorHAnsi" w:hAnsiTheme="minorHAnsi" w:cs="Arial"/>
          <w:color w:val="000000"/>
          <w:szCs w:val="24"/>
        </w:rPr>
        <w:t>LTC</w:t>
      </w:r>
      <w:proofErr w:type="spellEnd"/>
      <w:r w:rsidRPr="0098438E">
        <w:rPr>
          <w:rFonts w:asciiTheme="minorHAnsi" w:hAnsiTheme="minorHAnsi" w:cs="Arial"/>
          <w:color w:val="000000"/>
          <w:szCs w:val="24"/>
        </w:rPr>
        <w:t xml:space="preserve"> facility's staff.</w:t>
      </w:r>
    </w:p>
    <w:p w:rsidR="000E34EC" w:rsidRPr="0098438E" w:rsidRDefault="000E34EC" w:rsidP="004127D9">
      <w:pPr>
        <w:pStyle w:val="ListParagraph"/>
        <w:numPr>
          <w:ilvl w:val="0"/>
          <w:numId w:val="15"/>
        </w:numPr>
        <w:shd w:val="clear" w:color="auto" w:fill="FFFFFF"/>
        <w:rPr>
          <w:rFonts w:asciiTheme="minorHAnsi" w:hAnsiTheme="minorHAnsi" w:cs="Arial"/>
          <w:color w:val="000000"/>
          <w:szCs w:val="24"/>
        </w:rPr>
      </w:pPr>
      <w:r w:rsidRPr="0098438E">
        <w:rPr>
          <w:rFonts w:asciiTheme="minorHAnsi" w:hAnsiTheme="minorHAnsi" w:cs="Arial"/>
          <w:color w:val="000000"/>
          <w:szCs w:val="24"/>
        </w:rPr>
        <w:t>Federal, State, tribal, regional, or local emergency management agencies.</w:t>
      </w:r>
    </w:p>
    <w:p w:rsidR="000E34EC" w:rsidRPr="0098438E" w:rsidRDefault="000E34EC" w:rsidP="004127D9">
      <w:pPr>
        <w:pStyle w:val="ListParagraph"/>
        <w:numPr>
          <w:ilvl w:val="0"/>
          <w:numId w:val="12"/>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(4) A method for sharing information and medical documentation for residents under the LTC facility's care, as necessary, with other health care providers to maintain the continuity of care.</w:t>
      </w:r>
    </w:p>
    <w:p w:rsidR="000E34EC" w:rsidRPr="0098438E" w:rsidRDefault="000E34EC" w:rsidP="004127D9">
      <w:pPr>
        <w:pStyle w:val="ListParagraph"/>
        <w:numPr>
          <w:ilvl w:val="0"/>
          <w:numId w:val="12"/>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(5) A means, in the event of an evacuation, to release resident information as permitted under 45 CFR 164.510(b)(1)(ii).</w:t>
      </w:r>
    </w:p>
    <w:p w:rsidR="000E34EC" w:rsidRPr="0098438E" w:rsidRDefault="000E34EC" w:rsidP="004127D9">
      <w:pPr>
        <w:pStyle w:val="ListParagraph"/>
        <w:numPr>
          <w:ilvl w:val="0"/>
          <w:numId w:val="12"/>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(6) A means of providing information about the general condition and location of residents under the facility's care as permitted under 45 CFR 164.510(b)(4).</w:t>
      </w:r>
    </w:p>
    <w:p w:rsidR="000E34EC" w:rsidRPr="0098438E" w:rsidRDefault="000E34EC" w:rsidP="004127D9">
      <w:pPr>
        <w:pStyle w:val="ListParagraph"/>
        <w:numPr>
          <w:ilvl w:val="0"/>
          <w:numId w:val="12"/>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lastRenderedPageBreak/>
        <w:t>(7) A means of providing information about the LTC facility's occupancy, needs, and its ability to provide assistance, to the authority having jurisdiction or the Incident Command Center, or designee.</w:t>
      </w:r>
    </w:p>
    <w:p w:rsidR="000E34EC" w:rsidRPr="0098438E" w:rsidRDefault="000E34EC" w:rsidP="004127D9">
      <w:pPr>
        <w:pStyle w:val="ListParagraph"/>
        <w:numPr>
          <w:ilvl w:val="0"/>
          <w:numId w:val="12"/>
        </w:numPr>
        <w:shd w:val="clear" w:color="auto" w:fill="FFFFFF"/>
        <w:spacing w:before="100" w:beforeAutospacing="1" w:after="120"/>
        <w:ind w:left="1195"/>
        <w:rPr>
          <w:rFonts w:asciiTheme="minorHAnsi" w:hAnsiTheme="minorHAnsi" w:cs="Arial"/>
          <w:color w:val="000000"/>
          <w:szCs w:val="24"/>
        </w:rPr>
      </w:pPr>
      <w:r w:rsidRPr="0098438E">
        <w:rPr>
          <w:rFonts w:asciiTheme="minorHAnsi" w:hAnsiTheme="minorHAnsi" w:cs="Arial"/>
          <w:color w:val="000000"/>
          <w:szCs w:val="24"/>
        </w:rPr>
        <w:t>(8) A method for sharing information from the emergency plan that the facility has determined is appropriate with residents and their families or representatives.</w:t>
      </w:r>
    </w:p>
    <w:p w:rsidR="000E34EC" w:rsidRPr="0098438E" w:rsidRDefault="000E34EC" w:rsidP="004127D9">
      <w:pPr>
        <w:pStyle w:val="ListParagraph"/>
        <w:numPr>
          <w:ilvl w:val="0"/>
          <w:numId w:val="8"/>
        </w:numPr>
        <w:shd w:val="clear" w:color="auto" w:fill="FFFFFF"/>
        <w:spacing w:before="100" w:beforeAutospacing="1" w:after="100" w:afterAutospacing="1"/>
        <w:rPr>
          <w:rFonts w:asciiTheme="minorHAnsi" w:hAnsiTheme="minorHAnsi" w:cs="Arial"/>
          <w:color w:val="000000"/>
          <w:szCs w:val="24"/>
        </w:rPr>
      </w:pPr>
      <w:r w:rsidRPr="0098438E">
        <w:rPr>
          <w:rFonts w:asciiTheme="minorHAnsi" w:hAnsiTheme="minorHAnsi" w:cs="Arial"/>
          <w:color w:val="000000"/>
          <w:szCs w:val="24"/>
        </w:rPr>
        <w:t>(d) </w:t>
      </w:r>
      <w:r w:rsidRPr="0098438E">
        <w:rPr>
          <w:rFonts w:asciiTheme="minorHAnsi" w:hAnsiTheme="minorHAnsi" w:cs="Arial"/>
          <w:i/>
          <w:iCs/>
          <w:color w:val="000000"/>
          <w:szCs w:val="24"/>
        </w:rPr>
        <w:t>Training and testing.</w:t>
      </w:r>
      <w:r w:rsidRPr="0098438E">
        <w:rPr>
          <w:rFonts w:asciiTheme="minorHAnsi" w:hAnsiTheme="minorHAnsi" w:cs="Arial"/>
          <w:color w:val="000000"/>
          <w:szCs w:val="24"/>
        </w:rPr>
        <w:t> The LTC facility must develop and maintain an emergency preparedness training and testing program that is based on the emergency plan set forth in paragraph (a) of this section, risk assessment at paragraph (a)(1) of this section, policies and procedures at paragraph (b) of this section, and the communication plan at paragraph (c) of this section. The training and testing program must be reviewed and updated at least annually.</w:t>
      </w:r>
    </w:p>
    <w:p w:rsidR="000E34EC" w:rsidRPr="002A07C6" w:rsidRDefault="000E34EC" w:rsidP="004127D9">
      <w:pPr>
        <w:pStyle w:val="ListParagraph"/>
        <w:numPr>
          <w:ilvl w:val="0"/>
          <w:numId w:val="16"/>
        </w:numPr>
        <w:shd w:val="clear" w:color="auto" w:fill="FFFFFF"/>
        <w:rPr>
          <w:rFonts w:asciiTheme="minorHAnsi" w:hAnsiTheme="minorHAnsi" w:cs="Arial"/>
          <w:color w:val="000000"/>
          <w:szCs w:val="24"/>
        </w:rPr>
      </w:pPr>
      <w:r w:rsidRPr="002A07C6">
        <w:rPr>
          <w:rFonts w:asciiTheme="minorHAnsi" w:hAnsiTheme="minorHAnsi" w:cs="Arial"/>
          <w:i/>
          <w:iCs/>
          <w:color w:val="000000"/>
          <w:szCs w:val="24"/>
        </w:rPr>
        <w:t>Training program.</w:t>
      </w:r>
      <w:r w:rsidRPr="002A07C6">
        <w:rPr>
          <w:rFonts w:asciiTheme="minorHAnsi" w:hAnsiTheme="minorHAnsi" w:cs="Arial"/>
          <w:color w:val="000000"/>
          <w:szCs w:val="24"/>
        </w:rPr>
        <w:t xml:space="preserve"> The LTC facility must do </w:t>
      </w:r>
      <w:proofErr w:type="gramStart"/>
      <w:r w:rsidRPr="002A07C6">
        <w:rPr>
          <w:rFonts w:asciiTheme="minorHAnsi" w:hAnsiTheme="minorHAnsi" w:cs="Arial"/>
          <w:color w:val="000000"/>
          <w:szCs w:val="24"/>
        </w:rPr>
        <w:t>all of</w:t>
      </w:r>
      <w:proofErr w:type="gramEnd"/>
      <w:r w:rsidRPr="002A07C6">
        <w:rPr>
          <w:rFonts w:asciiTheme="minorHAnsi" w:hAnsiTheme="minorHAnsi" w:cs="Arial"/>
          <w:color w:val="000000"/>
          <w:szCs w:val="24"/>
        </w:rPr>
        <w:t xml:space="preserve"> the following:</w:t>
      </w:r>
    </w:p>
    <w:p w:rsidR="000E34EC" w:rsidRPr="002A07C6" w:rsidRDefault="000E34EC" w:rsidP="004127D9">
      <w:pPr>
        <w:pStyle w:val="ListParagraph"/>
        <w:numPr>
          <w:ilvl w:val="0"/>
          <w:numId w:val="17"/>
        </w:numPr>
        <w:shd w:val="clear" w:color="auto" w:fill="FFFFFF"/>
        <w:rPr>
          <w:rFonts w:asciiTheme="minorHAnsi" w:hAnsiTheme="minorHAnsi" w:cs="Arial"/>
          <w:color w:val="000000"/>
          <w:szCs w:val="24"/>
        </w:rPr>
      </w:pPr>
      <w:r w:rsidRPr="002A07C6">
        <w:rPr>
          <w:rFonts w:asciiTheme="minorHAnsi" w:hAnsiTheme="minorHAnsi" w:cs="Arial"/>
          <w:color w:val="000000"/>
          <w:szCs w:val="24"/>
        </w:rPr>
        <w:t>Initial training in emergency preparedness policies and procedures to all new and existing staff, individuals providing services under arrangement, and volunteers, consistent with their expected roles.</w:t>
      </w:r>
    </w:p>
    <w:p w:rsidR="000E34EC" w:rsidRPr="002A07C6" w:rsidRDefault="000E34EC" w:rsidP="004127D9">
      <w:pPr>
        <w:pStyle w:val="ListParagraph"/>
        <w:numPr>
          <w:ilvl w:val="0"/>
          <w:numId w:val="17"/>
        </w:numPr>
        <w:shd w:val="clear" w:color="auto" w:fill="FFFFFF"/>
        <w:rPr>
          <w:rFonts w:asciiTheme="minorHAnsi" w:hAnsiTheme="minorHAnsi" w:cs="Arial"/>
          <w:color w:val="000000"/>
          <w:szCs w:val="24"/>
        </w:rPr>
      </w:pPr>
      <w:r w:rsidRPr="002A07C6">
        <w:rPr>
          <w:rFonts w:asciiTheme="minorHAnsi" w:hAnsiTheme="minorHAnsi" w:cs="Arial"/>
          <w:color w:val="000000"/>
          <w:szCs w:val="24"/>
        </w:rPr>
        <w:t>Provide emergency preparedness training at least annually.</w:t>
      </w:r>
    </w:p>
    <w:p w:rsidR="000E34EC" w:rsidRPr="002A07C6" w:rsidRDefault="000E34EC" w:rsidP="004127D9">
      <w:pPr>
        <w:pStyle w:val="ListParagraph"/>
        <w:numPr>
          <w:ilvl w:val="0"/>
          <w:numId w:val="17"/>
        </w:numPr>
        <w:shd w:val="clear" w:color="auto" w:fill="FFFFFF"/>
        <w:rPr>
          <w:rFonts w:asciiTheme="minorHAnsi" w:hAnsiTheme="minorHAnsi" w:cs="Arial"/>
          <w:color w:val="000000"/>
          <w:szCs w:val="24"/>
        </w:rPr>
      </w:pPr>
      <w:r w:rsidRPr="002A07C6">
        <w:rPr>
          <w:rFonts w:asciiTheme="minorHAnsi" w:hAnsiTheme="minorHAnsi" w:cs="Arial"/>
          <w:color w:val="000000"/>
          <w:szCs w:val="24"/>
        </w:rPr>
        <w:t>Maintain documentation of the training.</w:t>
      </w:r>
    </w:p>
    <w:p w:rsidR="000E34EC" w:rsidRPr="002A07C6" w:rsidRDefault="000E34EC" w:rsidP="004127D9">
      <w:pPr>
        <w:pStyle w:val="ListParagraph"/>
        <w:numPr>
          <w:ilvl w:val="0"/>
          <w:numId w:val="17"/>
        </w:numPr>
        <w:shd w:val="clear" w:color="auto" w:fill="FFFFFF"/>
        <w:rPr>
          <w:rFonts w:asciiTheme="minorHAnsi" w:hAnsiTheme="minorHAnsi" w:cs="Arial"/>
          <w:color w:val="000000"/>
          <w:szCs w:val="24"/>
        </w:rPr>
      </w:pPr>
      <w:r w:rsidRPr="002A07C6">
        <w:rPr>
          <w:rFonts w:asciiTheme="minorHAnsi" w:hAnsiTheme="minorHAnsi" w:cs="Arial"/>
          <w:color w:val="000000"/>
          <w:szCs w:val="24"/>
        </w:rPr>
        <w:t>Demonstrate staff knowledge of emergency procedures.</w:t>
      </w:r>
    </w:p>
    <w:p w:rsidR="000E34EC" w:rsidRPr="002A07C6" w:rsidRDefault="000E34EC" w:rsidP="004127D9">
      <w:pPr>
        <w:pStyle w:val="ListParagraph"/>
        <w:numPr>
          <w:ilvl w:val="0"/>
          <w:numId w:val="16"/>
        </w:numPr>
        <w:shd w:val="clear" w:color="auto" w:fill="FFFFFF"/>
        <w:spacing w:before="100" w:beforeAutospacing="1"/>
        <w:ind w:left="1195"/>
        <w:rPr>
          <w:rFonts w:asciiTheme="minorHAnsi" w:hAnsiTheme="minorHAnsi" w:cs="Arial"/>
          <w:color w:val="000000"/>
          <w:szCs w:val="24"/>
        </w:rPr>
      </w:pPr>
      <w:r w:rsidRPr="002A07C6">
        <w:rPr>
          <w:rFonts w:asciiTheme="minorHAnsi" w:hAnsiTheme="minorHAnsi" w:cs="Arial"/>
          <w:i/>
          <w:iCs/>
          <w:color w:val="000000"/>
          <w:szCs w:val="24"/>
        </w:rPr>
        <w:t>Testing.</w:t>
      </w:r>
      <w:r w:rsidRPr="002A07C6">
        <w:rPr>
          <w:rFonts w:asciiTheme="minorHAnsi" w:hAnsiTheme="minorHAnsi" w:cs="Arial"/>
          <w:color w:val="000000"/>
          <w:szCs w:val="24"/>
        </w:rPr>
        <w:t> The LTC facility must conduct exercises to test the emergency plan at least annually, including unannounced staff drills using the emergency procedures. The LTC facility must do the following:</w:t>
      </w:r>
    </w:p>
    <w:p w:rsidR="000E34EC" w:rsidRPr="002A07C6" w:rsidRDefault="000E34EC" w:rsidP="004127D9">
      <w:pPr>
        <w:pStyle w:val="ListParagraph"/>
        <w:numPr>
          <w:ilvl w:val="0"/>
          <w:numId w:val="18"/>
        </w:numPr>
        <w:shd w:val="clear" w:color="auto" w:fill="FFFFFF"/>
        <w:spacing w:after="100" w:afterAutospacing="1"/>
        <w:ind w:left="1620"/>
        <w:rPr>
          <w:rFonts w:asciiTheme="minorHAnsi" w:hAnsiTheme="minorHAnsi" w:cs="Arial"/>
          <w:color w:val="000000"/>
          <w:szCs w:val="24"/>
        </w:rPr>
      </w:pPr>
      <w:r w:rsidRPr="002A07C6">
        <w:rPr>
          <w:rFonts w:asciiTheme="minorHAnsi" w:hAnsiTheme="minorHAnsi" w:cs="Arial"/>
          <w:color w:val="000000"/>
          <w:szCs w:val="24"/>
        </w:rPr>
        <w:t>Participate in a full-scale exercise that is community-based or when a community-based exercise is not accessible, an individual, facility-based. If the LTC facility experiences an actual natural or man-made emergency that requires activation of the emergency plan, the LTC facility is exempt from engaging in a community-based or individual, facility-based full-scale exercise for 1 year following the onset of the actual event.</w:t>
      </w:r>
    </w:p>
    <w:p w:rsidR="000E34EC" w:rsidRPr="002A07C6" w:rsidRDefault="000E34EC" w:rsidP="004127D9">
      <w:pPr>
        <w:pStyle w:val="ListParagraph"/>
        <w:numPr>
          <w:ilvl w:val="0"/>
          <w:numId w:val="18"/>
        </w:numPr>
        <w:shd w:val="clear" w:color="auto" w:fill="FFFFFF"/>
        <w:ind w:left="1627"/>
        <w:rPr>
          <w:rFonts w:asciiTheme="minorHAnsi" w:hAnsiTheme="minorHAnsi" w:cs="Arial"/>
          <w:color w:val="000000"/>
          <w:szCs w:val="24"/>
        </w:rPr>
      </w:pPr>
      <w:r w:rsidRPr="002A07C6">
        <w:rPr>
          <w:rFonts w:asciiTheme="minorHAnsi" w:hAnsiTheme="minorHAnsi" w:cs="Arial"/>
          <w:color w:val="000000"/>
          <w:szCs w:val="24"/>
        </w:rPr>
        <w:t>Conduct an additional exercise that may include, but is not limited to the following:</w:t>
      </w:r>
    </w:p>
    <w:p w:rsidR="000E34EC" w:rsidRPr="00C6507D" w:rsidRDefault="000E34EC" w:rsidP="004127D9">
      <w:pPr>
        <w:pStyle w:val="ListParagraph"/>
        <w:numPr>
          <w:ilvl w:val="0"/>
          <w:numId w:val="19"/>
        </w:numPr>
        <w:shd w:val="clear" w:color="auto" w:fill="FFFFFF"/>
        <w:spacing w:after="100" w:afterAutospacing="1"/>
        <w:ind w:left="1987"/>
        <w:rPr>
          <w:rFonts w:asciiTheme="minorHAnsi" w:hAnsiTheme="minorHAnsi" w:cs="Arial"/>
          <w:color w:val="000000"/>
          <w:szCs w:val="24"/>
        </w:rPr>
      </w:pPr>
      <w:r w:rsidRPr="00C6507D">
        <w:rPr>
          <w:rFonts w:asciiTheme="minorHAnsi" w:hAnsiTheme="minorHAnsi" w:cs="Arial"/>
          <w:color w:val="000000"/>
          <w:szCs w:val="24"/>
        </w:rPr>
        <w:t>A second full-scale exercise that is community-based or individual, facility-based.</w:t>
      </w:r>
    </w:p>
    <w:p w:rsidR="000E34EC" w:rsidRPr="00C6507D" w:rsidRDefault="000E34EC" w:rsidP="004127D9">
      <w:pPr>
        <w:pStyle w:val="ListParagraph"/>
        <w:numPr>
          <w:ilvl w:val="0"/>
          <w:numId w:val="19"/>
        </w:numPr>
        <w:shd w:val="clear" w:color="auto" w:fill="FFFFFF"/>
        <w:spacing w:after="100" w:afterAutospacing="1"/>
        <w:ind w:left="1987"/>
        <w:rPr>
          <w:rFonts w:asciiTheme="minorHAnsi" w:hAnsiTheme="minorHAnsi" w:cs="Arial"/>
          <w:color w:val="000000"/>
          <w:szCs w:val="24"/>
        </w:rPr>
      </w:pPr>
      <w:r w:rsidRPr="00C6507D">
        <w:rPr>
          <w:rFonts w:asciiTheme="minorHAnsi" w:hAnsiTheme="minorHAnsi" w:cs="Arial"/>
          <w:color w:val="000000"/>
          <w:szCs w:val="24"/>
        </w:rPr>
        <w:t>A tabletop exercise that includes a group discussion led by a facilitator, using a narrated, clinically-relevant emergency scenario, and a set of problem statements, directed messages, or prepared questions designed to challenge an emergency plan.</w:t>
      </w:r>
    </w:p>
    <w:p w:rsidR="000E34EC" w:rsidRPr="00C6507D" w:rsidRDefault="000E34EC" w:rsidP="004127D9">
      <w:pPr>
        <w:pStyle w:val="ListParagraph"/>
        <w:numPr>
          <w:ilvl w:val="0"/>
          <w:numId w:val="18"/>
        </w:numPr>
        <w:shd w:val="clear" w:color="auto" w:fill="FFFFFF"/>
        <w:spacing w:before="100" w:beforeAutospacing="1" w:after="100" w:afterAutospacing="1"/>
        <w:ind w:left="1710" w:hanging="450"/>
        <w:rPr>
          <w:rFonts w:asciiTheme="minorHAnsi" w:hAnsiTheme="minorHAnsi" w:cs="Arial"/>
          <w:color w:val="000000"/>
          <w:szCs w:val="24"/>
        </w:rPr>
      </w:pPr>
      <w:r w:rsidRPr="00C6507D">
        <w:rPr>
          <w:rFonts w:asciiTheme="minorHAnsi" w:hAnsiTheme="minorHAnsi" w:cs="Arial"/>
          <w:color w:val="000000"/>
          <w:szCs w:val="24"/>
        </w:rPr>
        <w:t xml:space="preserve">Analyze the </w:t>
      </w:r>
      <w:proofErr w:type="spellStart"/>
      <w:r w:rsidRPr="00C6507D">
        <w:rPr>
          <w:rFonts w:asciiTheme="minorHAnsi" w:hAnsiTheme="minorHAnsi" w:cs="Arial"/>
          <w:color w:val="000000"/>
          <w:szCs w:val="24"/>
        </w:rPr>
        <w:t>LTC</w:t>
      </w:r>
      <w:proofErr w:type="spellEnd"/>
      <w:r w:rsidRPr="00C6507D">
        <w:rPr>
          <w:rFonts w:asciiTheme="minorHAnsi" w:hAnsiTheme="minorHAnsi" w:cs="Arial"/>
          <w:color w:val="000000"/>
          <w:szCs w:val="24"/>
        </w:rPr>
        <w:t xml:space="preserve"> facility's response to and maintain documentation of all drills, tabletop exercises, and emergency events, and revise the LTC facility's emergency plan, as needed.</w:t>
      </w:r>
    </w:p>
    <w:p w:rsidR="000E34EC" w:rsidRPr="00C6507D" w:rsidRDefault="000E34EC" w:rsidP="004127D9">
      <w:pPr>
        <w:pStyle w:val="ListParagraph"/>
        <w:numPr>
          <w:ilvl w:val="0"/>
          <w:numId w:val="20"/>
        </w:numPr>
        <w:shd w:val="clear" w:color="auto" w:fill="FFFFFF"/>
        <w:spacing w:before="100" w:beforeAutospacing="1" w:after="100" w:afterAutospacing="1"/>
        <w:rPr>
          <w:rFonts w:asciiTheme="minorHAnsi" w:hAnsiTheme="minorHAnsi" w:cs="Arial"/>
          <w:color w:val="000000"/>
          <w:szCs w:val="24"/>
        </w:rPr>
      </w:pPr>
      <w:r w:rsidRPr="00C6507D">
        <w:rPr>
          <w:rFonts w:asciiTheme="minorHAnsi" w:hAnsiTheme="minorHAnsi" w:cs="Arial"/>
          <w:i/>
          <w:iCs/>
          <w:color w:val="000000"/>
          <w:szCs w:val="24"/>
        </w:rPr>
        <w:lastRenderedPageBreak/>
        <w:t>Emergency and standby power systems.</w:t>
      </w:r>
      <w:r w:rsidRPr="00C6507D">
        <w:rPr>
          <w:rFonts w:asciiTheme="minorHAnsi" w:hAnsiTheme="minorHAnsi" w:cs="Arial"/>
          <w:color w:val="000000"/>
          <w:szCs w:val="24"/>
        </w:rPr>
        <w:t> The LTC facility must implement emergency and standby power systems based on the emergency plan set forth in paragraph (a) of this section.</w:t>
      </w:r>
    </w:p>
    <w:p w:rsidR="000E34EC" w:rsidRPr="00C6507D" w:rsidRDefault="000E34EC" w:rsidP="004127D9">
      <w:pPr>
        <w:pStyle w:val="ListParagraph"/>
        <w:numPr>
          <w:ilvl w:val="0"/>
          <w:numId w:val="21"/>
        </w:numPr>
        <w:shd w:val="clear" w:color="auto" w:fill="FFFFFF"/>
        <w:spacing w:before="100" w:beforeAutospacing="1" w:after="120"/>
        <w:ind w:left="1195"/>
        <w:rPr>
          <w:rFonts w:asciiTheme="minorHAnsi" w:hAnsiTheme="minorHAnsi" w:cs="Arial"/>
          <w:color w:val="000000"/>
          <w:szCs w:val="24"/>
        </w:rPr>
      </w:pPr>
      <w:r w:rsidRPr="00C6507D">
        <w:rPr>
          <w:rFonts w:asciiTheme="minorHAnsi" w:hAnsiTheme="minorHAnsi" w:cs="Arial"/>
          <w:i/>
          <w:iCs/>
          <w:color w:val="000000"/>
          <w:szCs w:val="24"/>
        </w:rPr>
        <w:t>Emergency generator location.</w:t>
      </w:r>
      <w:r w:rsidRPr="00C6507D">
        <w:rPr>
          <w:rFonts w:asciiTheme="minorHAnsi" w:hAnsiTheme="minorHAnsi" w:cs="Arial"/>
          <w:color w:val="000000"/>
          <w:szCs w:val="24"/>
        </w:rPr>
        <w:t> The generator must be located in accordance with the location requirements found in the Health Care Facilities Code (NFPA 99 and Tentative Interim Amendments TIA 12-2, TIA 12-3, TIA 12-4, TIA 12-5, and TIA 12-6), Life Safety Code (NFPA 101 and Tentative Interim Amendments TIA 12-1, TIA 12-2, TIA 12-3, and TIA 12-4), and NFPA 110, when a new structure is built or when an existing structure or building is renovated.</w:t>
      </w:r>
    </w:p>
    <w:p w:rsidR="000E34EC" w:rsidRPr="00C6507D" w:rsidRDefault="000E34EC" w:rsidP="004127D9">
      <w:pPr>
        <w:pStyle w:val="ListParagraph"/>
        <w:numPr>
          <w:ilvl w:val="0"/>
          <w:numId w:val="21"/>
        </w:numPr>
        <w:shd w:val="clear" w:color="auto" w:fill="FFFFFF"/>
        <w:spacing w:before="100" w:beforeAutospacing="1" w:after="120"/>
        <w:ind w:left="1195"/>
        <w:rPr>
          <w:rFonts w:asciiTheme="minorHAnsi" w:hAnsiTheme="minorHAnsi" w:cs="Arial"/>
          <w:color w:val="000000"/>
          <w:szCs w:val="24"/>
        </w:rPr>
      </w:pPr>
      <w:r w:rsidRPr="00C6507D">
        <w:rPr>
          <w:rFonts w:asciiTheme="minorHAnsi" w:hAnsiTheme="minorHAnsi" w:cs="Arial"/>
          <w:i/>
          <w:iCs/>
          <w:color w:val="000000"/>
          <w:szCs w:val="24"/>
        </w:rPr>
        <w:t>Emergency generator inspection and testing.</w:t>
      </w:r>
      <w:r w:rsidRPr="00C6507D">
        <w:rPr>
          <w:rFonts w:asciiTheme="minorHAnsi" w:hAnsiTheme="minorHAnsi" w:cs="Arial"/>
          <w:color w:val="000000"/>
          <w:szCs w:val="24"/>
        </w:rPr>
        <w:t> The LTC facility must implement the emergency power system inspection, testing, and maintenance requirements found in the Health Care Facilities Code, NFPA 110, and Life Safety Code.</w:t>
      </w:r>
    </w:p>
    <w:p w:rsidR="00C6507D" w:rsidRDefault="000E34EC" w:rsidP="004127D9">
      <w:pPr>
        <w:pStyle w:val="ListParagraph"/>
        <w:numPr>
          <w:ilvl w:val="0"/>
          <w:numId w:val="21"/>
        </w:numPr>
        <w:shd w:val="clear" w:color="auto" w:fill="FFFFFF"/>
        <w:spacing w:before="100" w:beforeAutospacing="1" w:after="120"/>
        <w:ind w:left="1195"/>
        <w:rPr>
          <w:rFonts w:asciiTheme="minorHAnsi" w:hAnsiTheme="minorHAnsi" w:cs="Arial"/>
          <w:color w:val="000000"/>
          <w:szCs w:val="24"/>
        </w:rPr>
      </w:pPr>
      <w:r w:rsidRPr="00C6507D">
        <w:rPr>
          <w:rFonts w:asciiTheme="minorHAnsi" w:hAnsiTheme="minorHAnsi" w:cs="Arial"/>
          <w:i/>
          <w:iCs/>
          <w:color w:val="000000"/>
          <w:szCs w:val="24"/>
        </w:rPr>
        <w:t>Emergency generator fuel.</w:t>
      </w:r>
      <w:r w:rsidRPr="00C6507D">
        <w:rPr>
          <w:rFonts w:asciiTheme="minorHAnsi" w:hAnsiTheme="minorHAnsi" w:cs="Arial"/>
          <w:color w:val="000000"/>
          <w:szCs w:val="24"/>
        </w:rPr>
        <w:t> </w:t>
      </w:r>
      <w:proofErr w:type="spellStart"/>
      <w:r w:rsidRPr="00C6507D">
        <w:rPr>
          <w:rFonts w:asciiTheme="minorHAnsi" w:hAnsiTheme="minorHAnsi" w:cs="Arial"/>
          <w:color w:val="000000"/>
          <w:szCs w:val="24"/>
        </w:rPr>
        <w:t>LTC</w:t>
      </w:r>
      <w:proofErr w:type="spellEnd"/>
      <w:r w:rsidRPr="00C6507D">
        <w:rPr>
          <w:rFonts w:asciiTheme="minorHAnsi" w:hAnsiTheme="minorHAnsi" w:cs="Arial"/>
          <w:color w:val="000000"/>
          <w:szCs w:val="24"/>
        </w:rPr>
        <w:t xml:space="preserve"> facilities that maintain an onsite fuel source to power emergency generators must have a plan for how it will keep emergency power systems operational during the emergency, unless it evacuates.</w:t>
      </w:r>
    </w:p>
    <w:p w:rsidR="000E34EC" w:rsidRPr="00C6507D" w:rsidRDefault="000E34EC" w:rsidP="004127D9">
      <w:pPr>
        <w:pStyle w:val="ListParagraph"/>
        <w:numPr>
          <w:ilvl w:val="0"/>
          <w:numId w:val="22"/>
        </w:numPr>
        <w:shd w:val="clear" w:color="auto" w:fill="FFFFFF"/>
        <w:spacing w:before="100" w:beforeAutospacing="1" w:after="120"/>
        <w:rPr>
          <w:rFonts w:asciiTheme="minorHAnsi" w:hAnsiTheme="minorHAnsi" w:cs="Arial"/>
          <w:color w:val="000000"/>
          <w:szCs w:val="24"/>
        </w:rPr>
      </w:pPr>
      <w:r w:rsidRPr="00C6507D">
        <w:rPr>
          <w:rFonts w:asciiTheme="minorHAnsi" w:hAnsiTheme="minorHAnsi" w:cs="Arial"/>
          <w:i/>
          <w:iCs/>
          <w:color w:val="000000"/>
          <w:szCs w:val="24"/>
        </w:rPr>
        <w:t>Integrated healthcare systems.</w:t>
      </w:r>
      <w:r w:rsidRPr="00C6507D">
        <w:rPr>
          <w:rFonts w:asciiTheme="minorHAnsi" w:hAnsiTheme="minorHAnsi" w:cs="Arial"/>
          <w:color w:val="000000"/>
          <w:szCs w:val="24"/>
        </w:rPr>
        <w:t xml:space="preserve"> If a LTC facility is part of a healthcare system consisting of multiple separately certified healthcare facilities that elects to have a unified and integrated emergency preparedness program, the LTC facility may choose to participate in the healthcare system's coordinated emergency preparedness program. If elected, the unified and integrated emergency preparedness program must do </w:t>
      </w:r>
      <w:proofErr w:type="gramStart"/>
      <w:r w:rsidRPr="00C6507D">
        <w:rPr>
          <w:rFonts w:asciiTheme="minorHAnsi" w:hAnsiTheme="minorHAnsi" w:cs="Arial"/>
          <w:color w:val="000000"/>
          <w:szCs w:val="24"/>
        </w:rPr>
        <w:t>all of</w:t>
      </w:r>
      <w:proofErr w:type="gramEnd"/>
      <w:r w:rsidRPr="00C6507D">
        <w:rPr>
          <w:rFonts w:asciiTheme="minorHAnsi" w:hAnsiTheme="minorHAnsi" w:cs="Arial"/>
          <w:color w:val="000000"/>
          <w:szCs w:val="24"/>
        </w:rPr>
        <w:t xml:space="preserve"> the following:</w:t>
      </w:r>
    </w:p>
    <w:p w:rsidR="000E34EC" w:rsidRPr="00C6507D" w:rsidRDefault="000E34EC" w:rsidP="004127D9">
      <w:pPr>
        <w:pStyle w:val="ListParagraph"/>
        <w:numPr>
          <w:ilvl w:val="0"/>
          <w:numId w:val="23"/>
        </w:numPr>
        <w:shd w:val="clear" w:color="auto" w:fill="FFFFFF"/>
        <w:spacing w:before="100" w:beforeAutospacing="1" w:after="120"/>
        <w:ind w:left="1195"/>
        <w:rPr>
          <w:rFonts w:asciiTheme="minorHAnsi" w:hAnsiTheme="minorHAnsi" w:cs="Arial"/>
          <w:color w:val="000000"/>
          <w:szCs w:val="24"/>
        </w:rPr>
      </w:pPr>
      <w:r w:rsidRPr="00C6507D">
        <w:rPr>
          <w:rFonts w:asciiTheme="minorHAnsi" w:hAnsiTheme="minorHAnsi" w:cs="Arial"/>
          <w:color w:val="000000"/>
          <w:szCs w:val="24"/>
        </w:rPr>
        <w:t>Demonstrate that each separately certified facility within the system actively participated in the development of the unified and integrated emergency preparedness program.</w:t>
      </w:r>
    </w:p>
    <w:p w:rsidR="000E34EC" w:rsidRPr="00C6507D" w:rsidRDefault="000E34EC" w:rsidP="004127D9">
      <w:pPr>
        <w:pStyle w:val="ListParagraph"/>
        <w:numPr>
          <w:ilvl w:val="0"/>
          <w:numId w:val="23"/>
        </w:numPr>
        <w:shd w:val="clear" w:color="auto" w:fill="FFFFFF"/>
        <w:spacing w:before="100" w:beforeAutospacing="1" w:after="120"/>
        <w:ind w:left="1195"/>
        <w:rPr>
          <w:rFonts w:asciiTheme="minorHAnsi" w:hAnsiTheme="minorHAnsi" w:cs="Arial"/>
          <w:color w:val="000000"/>
          <w:szCs w:val="24"/>
        </w:rPr>
      </w:pPr>
      <w:r w:rsidRPr="00C6507D">
        <w:rPr>
          <w:rFonts w:asciiTheme="minorHAnsi" w:hAnsiTheme="minorHAnsi" w:cs="Arial"/>
          <w:color w:val="000000"/>
          <w:szCs w:val="24"/>
        </w:rPr>
        <w:t xml:space="preserve">Be developed and maintained in a manner that </w:t>
      </w:r>
      <w:proofErr w:type="gramStart"/>
      <w:r w:rsidRPr="00C6507D">
        <w:rPr>
          <w:rFonts w:asciiTheme="minorHAnsi" w:hAnsiTheme="minorHAnsi" w:cs="Arial"/>
          <w:color w:val="000000"/>
          <w:szCs w:val="24"/>
        </w:rPr>
        <w:t>takes into account</w:t>
      </w:r>
      <w:proofErr w:type="gramEnd"/>
      <w:r w:rsidRPr="00C6507D">
        <w:rPr>
          <w:rFonts w:asciiTheme="minorHAnsi" w:hAnsiTheme="minorHAnsi" w:cs="Arial"/>
          <w:color w:val="000000"/>
          <w:szCs w:val="24"/>
        </w:rPr>
        <w:t xml:space="preserve"> each separately certified facility's unique circumstances, patient populations, and services offered.</w:t>
      </w:r>
    </w:p>
    <w:p w:rsidR="000E34EC" w:rsidRPr="00C6507D" w:rsidRDefault="000E34EC" w:rsidP="004127D9">
      <w:pPr>
        <w:pStyle w:val="ListParagraph"/>
        <w:numPr>
          <w:ilvl w:val="0"/>
          <w:numId w:val="23"/>
        </w:numPr>
        <w:shd w:val="clear" w:color="auto" w:fill="FFFFFF"/>
        <w:spacing w:before="100" w:beforeAutospacing="1" w:after="120"/>
        <w:ind w:left="1195"/>
        <w:rPr>
          <w:rFonts w:asciiTheme="minorHAnsi" w:hAnsiTheme="minorHAnsi" w:cs="Arial"/>
          <w:color w:val="000000"/>
          <w:szCs w:val="24"/>
        </w:rPr>
      </w:pPr>
      <w:r w:rsidRPr="00C6507D">
        <w:rPr>
          <w:rFonts w:asciiTheme="minorHAnsi" w:hAnsiTheme="minorHAnsi" w:cs="Arial"/>
          <w:color w:val="000000"/>
          <w:szCs w:val="24"/>
        </w:rPr>
        <w:t xml:space="preserve">Demonstrate that each separately certified facility is capable of actively using the unified and integrated emergency preparedness program and </w:t>
      </w:r>
      <w:proofErr w:type="gramStart"/>
      <w:r w:rsidRPr="00C6507D">
        <w:rPr>
          <w:rFonts w:asciiTheme="minorHAnsi" w:hAnsiTheme="minorHAnsi" w:cs="Arial"/>
          <w:color w:val="000000"/>
          <w:szCs w:val="24"/>
        </w:rPr>
        <w:t>is in compliance with</w:t>
      </w:r>
      <w:proofErr w:type="gramEnd"/>
      <w:r w:rsidRPr="00C6507D">
        <w:rPr>
          <w:rFonts w:asciiTheme="minorHAnsi" w:hAnsiTheme="minorHAnsi" w:cs="Arial"/>
          <w:color w:val="000000"/>
          <w:szCs w:val="24"/>
        </w:rPr>
        <w:t xml:space="preserve"> the program.</w:t>
      </w:r>
    </w:p>
    <w:p w:rsidR="000E34EC" w:rsidRPr="00C6507D" w:rsidRDefault="000E34EC" w:rsidP="004127D9">
      <w:pPr>
        <w:pStyle w:val="ListParagraph"/>
        <w:numPr>
          <w:ilvl w:val="0"/>
          <w:numId w:val="23"/>
        </w:numPr>
        <w:shd w:val="clear" w:color="auto" w:fill="FFFFFF"/>
        <w:spacing w:before="100" w:beforeAutospacing="1"/>
        <w:ind w:left="1195"/>
        <w:rPr>
          <w:rFonts w:asciiTheme="minorHAnsi" w:hAnsiTheme="minorHAnsi" w:cs="Arial"/>
          <w:color w:val="000000"/>
          <w:szCs w:val="24"/>
        </w:rPr>
      </w:pPr>
      <w:r w:rsidRPr="00C6507D">
        <w:rPr>
          <w:rFonts w:asciiTheme="minorHAnsi" w:hAnsiTheme="minorHAnsi" w:cs="Arial"/>
          <w:color w:val="000000"/>
          <w:szCs w:val="24"/>
        </w:rPr>
        <w:t>Include a unified and integrated emergency plan that meets the requirements of paragraphs (a)(2), (3), and (4) of this section. The unified and integrated emergency plan must also be based on and include—</w:t>
      </w:r>
    </w:p>
    <w:p w:rsidR="000E34EC" w:rsidRPr="004127D9" w:rsidRDefault="000E34EC" w:rsidP="004127D9">
      <w:pPr>
        <w:pStyle w:val="ListParagraph"/>
        <w:numPr>
          <w:ilvl w:val="0"/>
          <w:numId w:val="24"/>
        </w:numPr>
        <w:shd w:val="clear" w:color="auto" w:fill="FFFFFF"/>
        <w:spacing w:after="100" w:afterAutospacing="1"/>
        <w:rPr>
          <w:rFonts w:asciiTheme="minorHAnsi" w:hAnsiTheme="minorHAnsi" w:cs="Arial"/>
          <w:color w:val="000000"/>
          <w:szCs w:val="24"/>
        </w:rPr>
      </w:pPr>
      <w:r w:rsidRPr="004127D9">
        <w:rPr>
          <w:rFonts w:asciiTheme="minorHAnsi" w:hAnsiTheme="minorHAnsi" w:cs="Arial"/>
          <w:color w:val="000000"/>
          <w:szCs w:val="24"/>
        </w:rPr>
        <w:t>A documented community-based risk assessment, utilizing an all-hazards approach.</w:t>
      </w:r>
    </w:p>
    <w:p w:rsidR="000E34EC" w:rsidRPr="004127D9" w:rsidRDefault="000E34EC" w:rsidP="004127D9">
      <w:pPr>
        <w:pStyle w:val="ListParagraph"/>
        <w:numPr>
          <w:ilvl w:val="0"/>
          <w:numId w:val="24"/>
        </w:numPr>
        <w:shd w:val="clear" w:color="auto" w:fill="FFFFFF"/>
        <w:spacing w:after="100" w:afterAutospacing="1"/>
        <w:rPr>
          <w:rFonts w:asciiTheme="minorHAnsi" w:hAnsiTheme="minorHAnsi" w:cs="Arial"/>
          <w:color w:val="000000"/>
          <w:szCs w:val="24"/>
        </w:rPr>
      </w:pPr>
      <w:r w:rsidRPr="004127D9">
        <w:rPr>
          <w:rFonts w:asciiTheme="minorHAnsi" w:hAnsiTheme="minorHAnsi" w:cs="Arial"/>
          <w:color w:val="000000"/>
          <w:szCs w:val="24"/>
        </w:rPr>
        <w:t>A documented individual facility-based risk assessment for each separately certified facility within the health system, utilizing an all-hazards approach.</w:t>
      </w:r>
    </w:p>
    <w:p w:rsidR="000E34EC" w:rsidRPr="004127D9" w:rsidRDefault="000E34EC" w:rsidP="004127D9">
      <w:pPr>
        <w:pStyle w:val="ListParagraph"/>
        <w:numPr>
          <w:ilvl w:val="0"/>
          <w:numId w:val="23"/>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lastRenderedPageBreak/>
        <w:t>Include integrated policies and procedures that meet the requirements set forth in paragraph (b) of this section, a coordinated communication plan and training and testing programs that meet the requirements of paragraphs (c) and (d) of this section, respectively.</w:t>
      </w:r>
    </w:p>
    <w:p w:rsidR="004127D9" w:rsidRDefault="000E34EC" w:rsidP="004127D9">
      <w:pPr>
        <w:shd w:val="clear" w:color="auto" w:fill="FFFFFF"/>
        <w:spacing w:before="100" w:beforeAutospacing="1" w:after="100" w:afterAutospacing="1"/>
        <w:rPr>
          <w:rFonts w:asciiTheme="minorHAnsi" w:hAnsiTheme="minorHAnsi" w:cs="Arial"/>
          <w:color w:val="000000"/>
          <w:szCs w:val="24"/>
        </w:rPr>
      </w:pPr>
      <w:r w:rsidRPr="00DE75EB">
        <w:rPr>
          <w:rFonts w:asciiTheme="minorHAnsi" w:hAnsiTheme="minorHAnsi" w:cs="Arial"/>
          <w:color w:val="000000"/>
          <w:szCs w:val="24"/>
        </w:rPr>
        <w:t>The standards incorporated by reference in this section are approved for incorporation by reference by the Director of the Office of the Federal Register in accordance with 5 U.S.C. 552(a) and 1 CFR part 51. You may obtain the material from the sources listed below. You may inspect a copy at the CMS Information Resource Center, 7500 Security Boulevard, Baltimore, MD or at the National Archives and Records Administration (NARA). For information on the availability of this material at NARA, call 202-741-6030, or go to: </w:t>
      </w:r>
      <w:hyperlink r:id="rId9" w:history="1">
        <w:r w:rsidR="004127D9" w:rsidRPr="00FB4340">
          <w:rPr>
            <w:rStyle w:val="Hyperlink"/>
            <w:rFonts w:asciiTheme="minorHAnsi" w:hAnsiTheme="minorHAnsi" w:cs="Arial"/>
            <w:szCs w:val="24"/>
          </w:rPr>
          <w:t>http://www.archives.gov/federal_register/code_of_federal_regulations/ibr_locations.html</w:t>
        </w:r>
      </w:hyperlink>
      <w:r w:rsidR="004127D9">
        <w:rPr>
          <w:rFonts w:asciiTheme="minorHAnsi" w:hAnsiTheme="minorHAnsi" w:cs="Arial"/>
          <w:i/>
          <w:iCs/>
          <w:color w:val="000000"/>
          <w:szCs w:val="24"/>
        </w:rPr>
        <w:t>.</w:t>
      </w:r>
      <w:r w:rsidRPr="00DE75EB">
        <w:rPr>
          <w:rFonts w:asciiTheme="minorHAnsi" w:hAnsiTheme="minorHAnsi" w:cs="Arial"/>
          <w:color w:val="000000"/>
          <w:szCs w:val="24"/>
        </w:rPr>
        <w:t xml:space="preserve"> </w:t>
      </w:r>
    </w:p>
    <w:p w:rsidR="000E34EC" w:rsidRPr="00DE75EB" w:rsidRDefault="000E34EC" w:rsidP="004127D9">
      <w:pPr>
        <w:shd w:val="clear" w:color="auto" w:fill="FFFFFF"/>
        <w:spacing w:before="100" w:beforeAutospacing="1" w:after="100" w:afterAutospacing="1"/>
        <w:rPr>
          <w:rFonts w:asciiTheme="minorHAnsi" w:hAnsiTheme="minorHAnsi" w:cs="Arial"/>
          <w:color w:val="000000"/>
          <w:szCs w:val="24"/>
        </w:rPr>
      </w:pPr>
      <w:r w:rsidRPr="00DE75EB">
        <w:rPr>
          <w:rFonts w:asciiTheme="minorHAnsi" w:hAnsiTheme="minorHAnsi" w:cs="Arial"/>
          <w:color w:val="000000"/>
          <w:szCs w:val="24"/>
        </w:rPr>
        <w:t xml:space="preserve">If any changes in this edition of the Code are incorporated by reference, CMS will publish a document in </w:t>
      </w:r>
      <w:r w:rsidR="004127D9">
        <w:rPr>
          <w:rFonts w:asciiTheme="minorHAnsi" w:hAnsiTheme="minorHAnsi" w:cs="Arial"/>
          <w:color w:val="000000"/>
          <w:szCs w:val="24"/>
        </w:rPr>
        <w:t>the Federal Registrar</w:t>
      </w:r>
      <w:r w:rsidRPr="00DE75EB">
        <w:rPr>
          <w:rFonts w:asciiTheme="minorHAnsi" w:hAnsiTheme="minorHAnsi" w:cs="Arial"/>
          <w:color w:val="000000"/>
          <w:szCs w:val="24"/>
        </w:rPr>
        <w:t> to announce the changes.</w:t>
      </w:r>
    </w:p>
    <w:p w:rsidR="000E34EC" w:rsidRPr="004127D9" w:rsidRDefault="000E34EC" w:rsidP="004127D9">
      <w:pPr>
        <w:pStyle w:val="ListParagraph"/>
        <w:numPr>
          <w:ilvl w:val="0"/>
          <w:numId w:val="25"/>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 xml:space="preserve">National Fire Protection Association, 1 </w:t>
      </w:r>
      <w:proofErr w:type="spellStart"/>
      <w:r w:rsidRPr="004127D9">
        <w:rPr>
          <w:rFonts w:asciiTheme="minorHAnsi" w:hAnsiTheme="minorHAnsi" w:cs="Arial"/>
          <w:color w:val="000000"/>
          <w:szCs w:val="24"/>
        </w:rPr>
        <w:t>Batterymarch</w:t>
      </w:r>
      <w:proofErr w:type="spellEnd"/>
      <w:r w:rsidRPr="004127D9">
        <w:rPr>
          <w:rFonts w:asciiTheme="minorHAnsi" w:hAnsiTheme="minorHAnsi" w:cs="Arial"/>
          <w:color w:val="000000"/>
          <w:szCs w:val="24"/>
        </w:rPr>
        <w:t xml:space="preserve"> Park, Quincy, MA 02169, </w:t>
      </w:r>
      <w:r w:rsidRPr="004127D9">
        <w:rPr>
          <w:rFonts w:asciiTheme="minorHAnsi" w:hAnsiTheme="minorHAnsi" w:cs="Arial"/>
          <w:i/>
          <w:iCs/>
          <w:color w:val="000000"/>
          <w:szCs w:val="24"/>
        </w:rPr>
        <w:t>www.nfpa.org</w:t>
      </w:r>
      <w:r w:rsidRPr="004127D9">
        <w:rPr>
          <w:rFonts w:asciiTheme="minorHAnsi" w:hAnsiTheme="minorHAnsi" w:cs="Arial"/>
          <w:color w:val="000000"/>
          <w:szCs w:val="24"/>
        </w:rPr>
        <w:t>, 1.617.770.3000.</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NFPA 99, Health Care Facilities Code 2012 edition, issued August 11, 2011.</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Technical interim amendment (TIA) 12-2 to NFPA 99, issued August 11, 2011.</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12-3 to NFPA 99, issued August 9, 2012.</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12-4 to NFPA 99, issued March 7, 2013.</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12-5 to NFPA 99, issued August 1, 2013.</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12-6 to NFPA 99, issued March 3, 2014.</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NFPA 101, Life Safety Code, 2012 edition, issued August 11, 2011.</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12-1 to NFPA 101, issued August 11, 2011.</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12-2 to NFPA 101, issued October 30, 2012.</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12-3 to NFPA 101, issued October 22, 2013.</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TIA 12-4 to NFPA 101, issued October 22, 2013.</w:t>
      </w:r>
    </w:p>
    <w:p w:rsidR="000E34EC" w:rsidRPr="004127D9" w:rsidRDefault="000E34EC" w:rsidP="004127D9">
      <w:pPr>
        <w:pStyle w:val="ListParagraph"/>
        <w:numPr>
          <w:ilvl w:val="0"/>
          <w:numId w:val="26"/>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NFPA 110, Standard for Emergency and Standby Power Systems, 2010 edition, including TIAs to chapter 7, issued August 6, 2009.</w:t>
      </w:r>
    </w:p>
    <w:p w:rsidR="000E34EC" w:rsidRPr="004127D9" w:rsidRDefault="000E34EC" w:rsidP="004127D9">
      <w:pPr>
        <w:pStyle w:val="ListParagraph"/>
        <w:numPr>
          <w:ilvl w:val="0"/>
          <w:numId w:val="25"/>
        </w:numPr>
        <w:shd w:val="clear" w:color="auto" w:fill="FFFFFF"/>
        <w:spacing w:before="100" w:beforeAutospacing="1" w:after="100" w:afterAutospacing="1"/>
        <w:rPr>
          <w:rFonts w:asciiTheme="minorHAnsi" w:hAnsiTheme="minorHAnsi" w:cs="Arial"/>
          <w:color w:val="000000"/>
          <w:szCs w:val="24"/>
        </w:rPr>
      </w:pPr>
      <w:r w:rsidRPr="004127D9">
        <w:rPr>
          <w:rFonts w:asciiTheme="minorHAnsi" w:hAnsiTheme="minorHAnsi" w:cs="Arial"/>
          <w:color w:val="000000"/>
          <w:szCs w:val="24"/>
        </w:rPr>
        <w:t>(2) [Reserved]</w:t>
      </w:r>
    </w:p>
    <w:p w:rsidR="000E34EC" w:rsidRPr="00DE75EB" w:rsidRDefault="000E34EC" w:rsidP="004127D9">
      <w:pPr>
        <w:shd w:val="clear" w:color="auto" w:fill="FFFFFF"/>
        <w:spacing w:before="200" w:after="100" w:afterAutospacing="1"/>
        <w:ind w:left="1440"/>
        <w:rPr>
          <w:rFonts w:asciiTheme="minorHAnsi" w:hAnsiTheme="minorHAnsi" w:cs="Arial"/>
          <w:color w:val="000000"/>
          <w:szCs w:val="24"/>
        </w:rPr>
      </w:pPr>
      <w:r w:rsidRPr="00DE75EB">
        <w:rPr>
          <w:rFonts w:asciiTheme="minorHAnsi" w:hAnsiTheme="minorHAnsi" w:cs="Arial"/>
          <w:color w:val="000000"/>
          <w:szCs w:val="24"/>
        </w:rPr>
        <w:t>[81 FR 64030, Sept. 16, 2016; 81 FR 80594, Nov. 16, 2016]</w:t>
      </w:r>
    </w:p>
    <w:p w:rsidR="004127D9" w:rsidRDefault="004127D9" w:rsidP="000E34EC">
      <w:pPr>
        <w:pStyle w:val="NoSpacing"/>
        <w:rPr>
          <w:sz w:val="24"/>
          <w:szCs w:val="24"/>
        </w:rPr>
      </w:pPr>
    </w:p>
    <w:p w:rsidR="004127D9" w:rsidRDefault="004127D9" w:rsidP="000E34EC">
      <w:pPr>
        <w:pStyle w:val="NoSpacing"/>
        <w:rPr>
          <w:sz w:val="24"/>
          <w:szCs w:val="24"/>
        </w:rPr>
      </w:pPr>
    </w:p>
    <w:p w:rsidR="004127D9" w:rsidRDefault="004127D9" w:rsidP="000E34EC">
      <w:pPr>
        <w:pStyle w:val="NoSpacing"/>
        <w:rPr>
          <w:sz w:val="24"/>
          <w:szCs w:val="24"/>
        </w:rPr>
      </w:pPr>
    </w:p>
    <w:p w:rsidR="004127D9" w:rsidRDefault="004127D9" w:rsidP="000E34EC">
      <w:pPr>
        <w:pStyle w:val="NoSpacing"/>
        <w:rPr>
          <w:sz w:val="24"/>
          <w:szCs w:val="24"/>
        </w:rPr>
      </w:pPr>
    </w:p>
    <w:p w:rsidR="000E34EC" w:rsidRPr="00DE75EB" w:rsidRDefault="000E34EC" w:rsidP="000E34EC">
      <w:pPr>
        <w:pStyle w:val="NoSpacing"/>
        <w:rPr>
          <w:sz w:val="24"/>
          <w:szCs w:val="24"/>
        </w:rPr>
      </w:pPr>
      <w:bookmarkStart w:id="0" w:name="_GoBack"/>
      <w:bookmarkEnd w:id="0"/>
      <w:r w:rsidRPr="00DE75EB">
        <w:rPr>
          <w:sz w:val="24"/>
          <w:szCs w:val="24"/>
        </w:rPr>
        <w:lastRenderedPageBreak/>
        <w:t>In addition to the 4 core elements, long term care facilities have very specific requirements related to the following measures:</w:t>
      </w:r>
    </w:p>
    <w:p w:rsidR="000E34EC" w:rsidRPr="00DE75EB" w:rsidRDefault="000E34EC" w:rsidP="004127D9">
      <w:pPr>
        <w:pStyle w:val="NoSpacing"/>
        <w:numPr>
          <w:ilvl w:val="0"/>
          <w:numId w:val="4"/>
        </w:numPr>
        <w:rPr>
          <w:sz w:val="24"/>
          <w:szCs w:val="24"/>
        </w:rPr>
      </w:pPr>
      <w:r w:rsidRPr="00DE75EB">
        <w:rPr>
          <w:sz w:val="24"/>
          <w:szCs w:val="24"/>
        </w:rPr>
        <w:t>Have emergency and standby power systems</w:t>
      </w:r>
    </w:p>
    <w:p w:rsidR="000E34EC" w:rsidRPr="00DE75EB" w:rsidRDefault="000E34EC" w:rsidP="004127D9">
      <w:pPr>
        <w:pStyle w:val="NoSpacing"/>
        <w:numPr>
          <w:ilvl w:val="0"/>
          <w:numId w:val="4"/>
        </w:numPr>
        <w:rPr>
          <w:sz w:val="24"/>
          <w:szCs w:val="24"/>
        </w:rPr>
      </w:pPr>
      <w:r w:rsidRPr="00DE75EB">
        <w:rPr>
          <w:sz w:val="24"/>
          <w:szCs w:val="24"/>
        </w:rPr>
        <w:t>Have a plan to account for/locate all residents</w:t>
      </w:r>
    </w:p>
    <w:p w:rsidR="000E34EC" w:rsidRPr="00DE75EB" w:rsidRDefault="000E34EC" w:rsidP="004127D9">
      <w:pPr>
        <w:pStyle w:val="NoSpacing"/>
        <w:numPr>
          <w:ilvl w:val="0"/>
          <w:numId w:val="4"/>
        </w:numPr>
        <w:rPr>
          <w:sz w:val="24"/>
          <w:szCs w:val="24"/>
        </w:rPr>
      </w:pPr>
      <w:r w:rsidRPr="00DE75EB">
        <w:rPr>
          <w:sz w:val="24"/>
          <w:szCs w:val="24"/>
        </w:rPr>
        <w:t>Have a method to share appropriate information with residents/families/representatives</w:t>
      </w:r>
    </w:p>
    <w:p w:rsidR="000E34EC" w:rsidRPr="00DE75EB" w:rsidRDefault="000E34EC" w:rsidP="000E34EC">
      <w:pPr>
        <w:pStyle w:val="NoSpacing"/>
        <w:rPr>
          <w:sz w:val="24"/>
          <w:szCs w:val="24"/>
        </w:rPr>
      </w:pPr>
    </w:p>
    <w:p w:rsidR="000E34EC" w:rsidRPr="00DE75EB" w:rsidRDefault="000E34EC" w:rsidP="000E34EC">
      <w:pPr>
        <w:pStyle w:val="NoSpacing"/>
        <w:rPr>
          <w:sz w:val="24"/>
          <w:szCs w:val="24"/>
        </w:rPr>
      </w:pPr>
      <w:r w:rsidRPr="00DE75EB">
        <w:rPr>
          <w:sz w:val="24"/>
          <w:szCs w:val="24"/>
        </w:rPr>
        <w:t>42 CFR §483.73 also references National Fire Protection Association (NFPA) codes.  In brief, the codes state the administration of every health care facility shall have in effect and available to all supervisory personnel the following:</w:t>
      </w:r>
    </w:p>
    <w:p w:rsidR="000E34EC" w:rsidRPr="00DE75EB" w:rsidRDefault="000E34EC" w:rsidP="004127D9">
      <w:pPr>
        <w:pStyle w:val="NoSpacing"/>
        <w:numPr>
          <w:ilvl w:val="0"/>
          <w:numId w:val="5"/>
        </w:numPr>
        <w:rPr>
          <w:sz w:val="24"/>
          <w:szCs w:val="24"/>
        </w:rPr>
      </w:pPr>
      <w:r w:rsidRPr="00DE75EB">
        <w:rPr>
          <w:sz w:val="24"/>
          <w:szCs w:val="24"/>
        </w:rPr>
        <w:t>Written copies of plan of protection of all persons in the event of fire – a copy readily available at all times in the telephone operator’s position or at the security center</w:t>
      </w:r>
    </w:p>
    <w:p w:rsidR="000E34EC" w:rsidRPr="00DE75EB" w:rsidRDefault="000E34EC" w:rsidP="004127D9">
      <w:pPr>
        <w:pStyle w:val="NoSpacing"/>
        <w:numPr>
          <w:ilvl w:val="0"/>
          <w:numId w:val="5"/>
        </w:numPr>
        <w:rPr>
          <w:sz w:val="24"/>
          <w:szCs w:val="24"/>
        </w:rPr>
      </w:pPr>
      <w:r w:rsidRPr="00DE75EB">
        <w:rPr>
          <w:sz w:val="24"/>
          <w:szCs w:val="24"/>
        </w:rPr>
        <w:t>Evacuation to areas of refuge</w:t>
      </w:r>
    </w:p>
    <w:p w:rsidR="000E34EC" w:rsidRPr="00DE75EB" w:rsidRDefault="000E34EC" w:rsidP="004127D9">
      <w:pPr>
        <w:pStyle w:val="NoSpacing"/>
        <w:numPr>
          <w:ilvl w:val="0"/>
          <w:numId w:val="5"/>
        </w:numPr>
        <w:rPr>
          <w:sz w:val="24"/>
          <w:szCs w:val="24"/>
        </w:rPr>
      </w:pPr>
      <w:r w:rsidRPr="00DE75EB">
        <w:rPr>
          <w:sz w:val="24"/>
          <w:szCs w:val="24"/>
        </w:rPr>
        <w:t>Evacuation of building when necessary</w:t>
      </w:r>
    </w:p>
    <w:p w:rsidR="000E34EC" w:rsidRPr="00DE75EB" w:rsidRDefault="000E34EC" w:rsidP="004127D9">
      <w:pPr>
        <w:pStyle w:val="NoSpacing"/>
        <w:numPr>
          <w:ilvl w:val="0"/>
          <w:numId w:val="5"/>
        </w:numPr>
        <w:rPr>
          <w:sz w:val="24"/>
          <w:szCs w:val="24"/>
        </w:rPr>
      </w:pPr>
      <w:r w:rsidRPr="00DE75EB">
        <w:rPr>
          <w:sz w:val="24"/>
          <w:szCs w:val="24"/>
        </w:rPr>
        <w:t>All staff periodically instructed and kept informed of duties under the plan</w:t>
      </w:r>
    </w:p>
    <w:p w:rsidR="000E34EC" w:rsidRPr="00DE75EB" w:rsidRDefault="000E34EC" w:rsidP="000E34EC">
      <w:pPr>
        <w:pStyle w:val="NoSpacing"/>
        <w:rPr>
          <w:sz w:val="24"/>
          <w:szCs w:val="24"/>
        </w:rPr>
      </w:pPr>
    </w:p>
    <w:p w:rsidR="000E34EC" w:rsidRPr="00DE75EB" w:rsidRDefault="000E34EC" w:rsidP="000E34EC">
      <w:pPr>
        <w:pStyle w:val="NoSpacing"/>
        <w:rPr>
          <w:sz w:val="24"/>
          <w:szCs w:val="24"/>
        </w:rPr>
      </w:pPr>
      <w:r w:rsidRPr="00DE75EB">
        <w:rPr>
          <w:sz w:val="24"/>
          <w:szCs w:val="24"/>
        </w:rPr>
        <w:t>Occupational Safety and Health Administration (OSHA) general industry standards at 29 CFR 1910 should also be reviewed.  Pay close attention to the following areas:</w:t>
      </w:r>
    </w:p>
    <w:p w:rsidR="000E34EC" w:rsidRPr="00DE75EB" w:rsidRDefault="000E34EC" w:rsidP="004127D9">
      <w:pPr>
        <w:pStyle w:val="NoSpacing"/>
        <w:numPr>
          <w:ilvl w:val="0"/>
          <w:numId w:val="6"/>
        </w:numPr>
        <w:rPr>
          <w:sz w:val="24"/>
          <w:szCs w:val="24"/>
        </w:rPr>
      </w:pPr>
      <w:r w:rsidRPr="00DE75EB">
        <w:rPr>
          <w:sz w:val="24"/>
          <w:szCs w:val="24"/>
        </w:rPr>
        <w:t>Means of Egress, Emergency Action Plan 1910.35-38</w:t>
      </w:r>
    </w:p>
    <w:p w:rsidR="000E34EC" w:rsidRPr="00DE75EB" w:rsidRDefault="000E34EC" w:rsidP="004127D9">
      <w:pPr>
        <w:pStyle w:val="NoSpacing"/>
        <w:numPr>
          <w:ilvl w:val="0"/>
          <w:numId w:val="6"/>
        </w:numPr>
        <w:rPr>
          <w:sz w:val="24"/>
          <w:szCs w:val="24"/>
        </w:rPr>
      </w:pPr>
      <w:r w:rsidRPr="00DE75EB">
        <w:rPr>
          <w:sz w:val="24"/>
          <w:szCs w:val="24"/>
        </w:rPr>
        <w:t>Hazardous Materials 1910.119-120</w:t>
      </w:r>
    </w:p>
    <w:p w:rsidR="000E34EC" w:rsidRPr="00DE75EB" w:rsidRDefault="000E34EC" w:rsidP="004127D9">
      <w:pPr>
        <w:pStyle w:val="NoSpacing"/>
        <w:numPr>
          <w:ilvl w:val="0"/>
          <w:numId w:val="6"/>
        </w:numPr>
        <w:rPr>
          <w:sz w:val="24"/>
          <w:szCs w:val="24"/>
        </w:rPr>
      </w:pPr>
      <w:r w:rsidRPr="00DE75EB">
        <w:rPr>
          <w:sz w:val="24"/>
          <w:szCs w:val="24"/>
        </w:rPr>
        <w:t>Personal Protective Equipment 1910.132-138</w:t>
      </w:r>
    </w:p>
    <w:p w:rsidR="000E34EC" w:rsidRPr="00DE75EB" w:rsidRDefault="000E34EC" w:rsidP="004127D9">
      <w:pPr>
        <w:pStyle w:val="NoSpacing"/>
        <w:numPr>
          <w:ilvl w:val="0"/>
          <w:numId w:val="6"/>
        </w:numPr>
        <w:rPr>
          <w:sz w:val="24"/>
          <w:szCs w:val="24"/>
        </w:rPr>
      </w:pPr>
      <w:r w:rsidRPr="00DE75EB">
        <w:rPr>
          <w:sz w:val="24"/>
          <w:szCs w:val="24"/>
        </w:rPr>
        <w:t>General Environmental Controls 1910.146-147</w:t>
      </w:r>
    </w:p>
    <w:p w:rsidR="000E34EC" w:rsidRPr="00DE75EB" w:rsidRDefault="000E34EC" w:rsidP="004127D9">
      <w:pPr>
        <w:pStyle w:val="NoSpacing"/>
        <w:numPr>
          <w:ilvl w:val="0"/>
          <w:numId w:val="6"/>
        </w:numPr>
        <w:rPr>
          <w:sz w:val="24"/>
          <w:szCs w:val="24"/>
        </w:rPr>
      </w:pPr>
      <w:r w:rsidRPr="00DE75EB">
        <w:rPr>
          <w:sz w:val="24"/>
          <w:szCs w:val="24"/>
        </w:rPr>
        <w:t>Medical and First Aid 1910.151</w:t>
      </w:r>
    </w:p>
    <w:p w:rsidR="000E34EC" w:rsidRPr="00DE75EB" w:rsidRDefault="000E34EC" w:rsidP="004127D9">
      <w:pPr>
        <w:pStyle w:val="NoSpacing"/>
        <w:numPr>
          <w:ilvl w:val="0"/>
          <w:numId w:val="6"/>
        </w:numPr>
        <w:rPr>
          <w:sz w:val="24"/>
          <w:szCs w:val="24"/>
        </w:rPr>
      </w:pPr>
      <w:r w:rsidRPr="00DE75EB">
        <w:rPr>
          <w:sz w:val="24"/>
          <w:szCs w:val="24"/>
        </w:rPr>
        <w:t>Fire Protection 1910 Subpart L; 1910.157-165</w:t>
      </w:r>
    </w:p>
    <w:p w:rsidR="000E34EC" w:rsidRPr="00DE75EB" w:rsidRDefault="000E34EC" w:rsidP="004127D9">
      <w:pPr>
        <w:pStyle w:val="NoSpacing"/>
        <w:numPr>
          <w:ilvl w:val="0"/>
          <w:numId w:val="6"/>
        </w:numPr>
        <w:rPr>
          <w:sz w:val="24"/>
          <w:szCs w:val="24"/>
        </w:rPr>
      </w:pPr>
      <w:r w:rsidRPr="00DE75EB">
        <w:rPr>
          <w:sz w:val="24"/>
          <w:szCs w:val="24"/>
        </w:rPr>
        <w:t>Toxic and Hazardous Substances 1910.1030; 1910.120</w:t>
      </w:r>
    </w:p>
    <w:p w:rsidR="000E34EC" w:rsidRPr="00DE75EB" w:rsidRDefault="000E34EC" w:rsidP="000E34EC">
      <w:pPr>
        <w:pStyle w:val="NoSpacing"/>
        <w:rPr>
          <w:sz w:val="24"/>
          <w:szCs w:val="24"/>
        </w:rPr>
      </w:pPr>
    </w:p>
    <w:p w:rsidR="000E34EC" w:rsidRPr="00DE75EB" w:rsidRDefault="000E34EC" w:rsidP="000E34EC">
      <w:pPr>
        <w:pStyle w:val="NoSpacing"/>
        <w:rPr>
          <w:sz w:val="24"/>
          <w:szCs w:val="24"/>
        </w:rPr>
      </w:pPr>
      <w:r w:rsidRPr="00DE75EB">
        <w:rPr>
          <w:sz w:val="24"/>
          <w:szCs w:val="24"/>
        </w:rPr>
        <w:t>Providers should also review any state nursing home licensure rules associated with Emergency Preparedness.</w:t>
      </w:r>
    </w:p>
    <w:p w:rsidR="000E34EC" w:rsidRPr="00DE75EB" w:rsidRDefault="000E34EC" w:rsidP="000E34EC">
      <w:pPr>
        <w:pStyle w:val="NoSpacing"/>
        <w:rPr>
          <w:sz w:val="24"/>
          <w:szCs w:val="24"/>
        </w:rPr>
      </w:pPr>
    </w:p>
    <w:p w:rsidR="000E34EC" w:rsidRPr="00DE75EB" w:rsidRDefault="000E34EC" w:rsidP="000E34EC">
      <w:pPr>
        <w:pStyle w:val="NoSpacing"/>
        <w:rPr>
          <w:sz w:val="24"/>
          <w:szCs w:val="24"/>
        </w:rPr>
      </w:pPr>
      <w:r w:rsidRPr="00DE75EB">
        <w:rPr>
          <w:sz w:val="24"/>
          <w:szCs w:val="24"/>
        </w:rPr>
        <w:t>Compliance with Appendix Z regulations will also contribute to the Phase 3 implementation of a Facility Wide Resource Assessment (F838) §483.70(e)(</w:t>
      </w:r>
      <w:proofErr w:type="gramStart"/>
      <w:r w:rsidRPr="00DE75EB">
        <w:rPr>
          <w:sz w:val="24"/>
          <w:szCs w:val="24"/>
        </w:rPr>
        <w:t>1)-(</w:t>
      </w:r>
      <w:proofErr w:type="gramEnd"/>
      <w:r w:rsidRPr="00DE75EB">
        <w:rPr>
          <w:sz w:val="24"/>
          <w:szCs w:val="24"/>
        </w:rPr>
        <w:t>3).</w:t>
      </w:r>
    </w:p>
    <w:p w:rsidR="00990043" w:rsidRPr="00DE75EB" w:rsidRDefault="00990043" w:rsidP="00533E95">
      <w:pPr>
        <w:jc w:val="center"/>
        <w:rPr>
          <w:rFonts w:asciiTheme="minorHAnsi" w:eastAsiaTheme="minorHAnsi" w:hAnsiTheme="minorHAnsi"/>
          <w:bCs/>
          <w:szCs w:val="24"/>
        </w:rPr>
      </w:pPr>
    </w:p>
    <w:sectPr w:rsidR="00990043" w:rsidRPr="00DE75EB" w:rsidSect="004A6490">
      <w:headerReference w:type="default" r:id="rId10"/>
      <w:footerReference w:type="default" r:id="rId11"/>
      <w:headerReference w:type="first" r:id="rId12"/>
      <w:pgSz w:w="12240" w:h="15840"/>
      <w:pgMar w:top="216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AA" w:rsidRDefault="00C21CAA" w:rsidP="00FE158D">
      <w:r>
        <w:separator/>
      </w:r>
    </w:p>
  </w:endnote>
  <w:endnote w:type="continuationSeparator" w:id="0">
    <w:p w:rsidR="00C21CAA" w:rsidRDefault="00C21CAA"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34" w:rsidRDefault="00025334" w:rsidP="00FE158D">
    <w:pPr>
      <w:pStyle w:val="Footer"/>
    </w:pPr>
    <w:r>
      <w:t xml:space="preserve">                                                                                                            </w:t>
    </w:r>
  </w:p>
  <w:p w:rsidR="00025334" w:rsidRPr="00061AB8" w:rsidRDefault="00025334" w:rsidP="00061AB8">
    <w:pPr>
      <w:tabs>
        <w:tab w:val="center" w:pos="4680"/>
        <w:tab w:val="right" w:pos="9360"/>
      </w:tabs>
      <w:jc w:val="center"/>
      <w:rPr>
        <w:rFonts w:ascii="Calibri" w:eastAsia="Calibri" w:hAnsi="Calibri"/>
        <w:sz w:val="16"/>
        <w:szCs w:val="16"/>
      </w:rPr>
    </w:pPr>
    <w:r w:rsidRPr="00061AB8">
      <w:rPr>
        <w:rFonts w:ascii="Calibri" w:eastAsia="Calibri" w:hAnsi="Calibri"/>
        <w:sz w:val="16"/>
        <w:szCs w:val="16"/>
      </w:rPr>
      <w:t xml:space="preserve">This document is for general informational purposes only.  </w:t>
    </w:r>
  </w:p>
  <w:p w:rsidR="00025334" w:rsidRPr="00061AB8" w:rsidRDefault="00025334" w:rsidP="00061AB8">
    <w:pPr>
      <w:tabs>
        <w:tab w:val="center" w:pos="4680"/>
        <w:tab w:val="right" w:pos="9360"/>
      </w:tabs>
      <w:jc w:val="center"/>
      <w:rPr>
        <w:rFonts w:ascii="Calibri" w:eastAsia="Calibri" w:hAnsi="Calibri"/>
        <w:sz w:val="16"/>
        <w:szCs w:val="16"/>
      </w:rPr>
    </w:pPr>
    <w:r w:rsidRPr="00061AB8">
      <w:rPr>
        <w:rFonts w:ascii="Calibri" w:eastAsia="Calibri" w:hAnsi="Calibri"/>
        <w:sz w:val="16"/>
        <w:szCs w:val="16"/>
      </w:rPr>
      <w:t>It does not represent legal advice nor relied upon as supporting documentation or advice with CMS or other regulatory entities.</w:t>
    </w:r>
  </w:p>
  <w:p w:rsidR="00025334" w:rsidRPr="00061AB8" w:rsidRDefault="00025334" w:rsidP="00061AB8">
    <w:pPr>
      <w:tabs>
        <w:tab w:val="center" w:pos="4680"/>
        <w:tab w:val="right" w:pos="9360"/>
      </w:tabs>
      <w:jc w:val="center"/>
      <w:rPr>
        <w:rFonts w:ascii="Calibri" w:eastAsia="Calibri" w:hAnsi="Calibri"/>
        <w:sz w:val="16"/>
        <w:szCs w:val="16"/>
      </w:rPr>
    </w:pPr>
    <w:r w:rsidRPr="00061AB8">
      <w:rPr>
        <w:rFonts w:ascii="Calibri" w:eastAsia="Calibri" w:hAnsi="Calibri"/>
        <w:sz w:val="16"/>
        <w:szCs w:val="16"/>
      </w:rPr>
      <w:t xml:space="preserve">© Pathway Health Services, Inc. – All Rights Reserved – Copy with Permission Only – </w:t>
    </w:r>
    <w:r w:rsidR="000E34EC">
      <w:rPr>
        <w:rFonts w:ascii="Calibri" w:eastAsia="Calibri" w:hAnsi="Calibri"/>
        <w:sz w:val="16"/>
        <w:szCs w:val="16"/>
      </w:rPr>
      <w:t>The Emergency Preparedness Toolkit 2017</w:t>
    </w:r>
    <w:r w:rsidRPr="00061AB8">
      <w:rPr>
        <w:rFonts w:ascii="Calibri" w:eastAsia="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AA" w:rsidRDefault="00C21CAA" w:rsidP="00FE158D">
      <w:r>
        <w:separator/>
      </w:r>
    </w:p>
  </w:footnote>
  <w:footnote w:type="continuationSeparator" w:id="0">
    <w:p w:rsidR="00C21CAA" w:rsidRDefault="00C21CAA" w:rsidP="00FE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34" w:rsidRDefault="00025334">
    <w:pPr>
      <w:pStyle w:val="Header"/>
    </w:pPr>
    <w:r>
      <w:rPr>
        <w:noProof/>
      </w:rPr>
      <w:drawing>
        <wp:anchor distT="0" distB="0" distL="114300" distR="114300" simplePos="0" relativeHeight="251658240" behindDoc="1" locked="1" layoutInCell="1" allowOverlap="0">
          <wp:simplePos x="0" y="0"/>
          <wp:positionH relativeFrom="column">
            <wp:posOffset>-914400</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34" w:rsidRDefault="00025334"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0C82833"/>
    <w:multiLevelType w:val="hybridMultilevel"/>
    <w:tmpl w:val="E870C766"/>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CA11EA8"/>
    <w:multiLevelType w:val="hybridMultilevel"/>
    <w:tmpl w:val="AA5E750E"/>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16346FC6"/>
    <w:multiLevelType w:val="hybridMultilevel"/>
    <w:tmpl w:val="804A183E"/>
    <w:lvl w:ilvl="0" w:tplc="AC143002">
      <w:start w:val="5"/>
      <w:numFmt w:val="lowerLetter"/>
      <w:lvlText w:val="%1."/>
      <w:lvlJc w:val="left"/>
      <w:pPr>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 w15:restartNumberingAfterBreak="0">
    <w:nsid w:val="1B8E53F7"/>
    <w:multiLevelType w:val="hybridMultilevel"/>
    <w:tmpl w:val="D7240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20168"/>
    <w:multiLevelType w:val="hybridMultilevel"/>
    <w:tmpl w:val="593E2C92"/>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34056B23"/>
    <w:multiLevelType w:val="hybridMultilevel"/>
    <w:tmpl w:val="E55A514E"/>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39232324"/>
    <w:multiLevelType w:val="hybridMultilevel"/>
    <w:tmpl w:val="B4E2C392"/>
    <w:lvl w:ilvl="0" w:tplc="0409001B">
      <w:start w:val="1"/>
      <w:numFmt w:val="lowerRoman"/>
      <w:lvlText w:val="%1."/>
      <w:lvlJc w:val="righ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8" w15:restartNumberingAfterBreak="0">
    <w:nsid w:val="417C7807"/>
    <w:multiLevelType w:val="hybridMultilevel"/>
    <w:tmpl w:val="D46CC02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4D3B0843"/>
    <w:multiLevelType w:val="hybridMultilevel"/>
    <w:tmpl w:val="8674847A"/>
    <w:lvl w:ilvl="0" w:tplc="A26CA69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433F7"/>
    <w:multiLevelType w:val="hybridMultilevel"/>
    <w:tmpl w:val="A93039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E7120"/>
    <w:multiLevelType w:val="hybridMultilevel"/>
    <w:tmpl w:val="01044B5A"/>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E7B0232"/>
    <w:multiLevelType w:val="hybridMultilevel"/>
    <w:tmpl w:val="F2DCA1F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64C6D96"/>
    <w:multiLevelType w:val="hybridMultilevel"/>
    <w:tmpl w:val="BAC6D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A7C11"/>
    <w:multiLevelType w:val="hybridMultilevel"/>
    <w:tmpl w:val="9118B2BC"/>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5FF05163"/>
    <w:multiLevelType w:val="hybridMultilevel"/>
    <w:tmpl w:val="3E768D80"/>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63B972AC"/>
    <w:multiLevelType w:val="hybridMultilevel"/>
    <w:tmpl w:val="E1261096"/>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7" w15:restartNumberingAfterBreak="0">
    <w:nsid w:val="654B42D4"/>
    <w:multiLevelType w:val="hybridMultilevel"/>
    <w:tmpl w:val="13ECBDE0"/>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70D2E61"/>
    <w:multiLevelType w:val="hybridMultilevel"/>
    <w:tmpl w:val="1A381F10"/>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6876467D"/>
    <w:multiLevelType w:val="hybridMultilevel"/>
    <w:tmpl w:val="E8D4B6FC"/>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15:restartNumberingAfterBreak="0">
    <w:nsid w:val="6B707306"/>
    <w:multiLevelType w:val="hybridMultilevel"/>
    <w:tmpl w:val="06E4AD0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706A622F"/>
    <w:multiLevelType w:val="hybridMultilevel"/>
    <w:tmpl w:val="CF66F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61387"/>
    <w:multiLevelType w:val="hybridMultilevel"/>
    <w:tmpl w:val="A98A895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0D545C"/>
    <w:multiLevelType w:val="hybridMultilevel"/>
    <w:tmpl w:val="B2CE2006"/>
    <w:lvl w:ilvl="0" w:tplc="04090019">
      <w:start w:val="1"/>
      <w:numFmt w:val="lowerLetter"/>
      <w:lvlText w:val="%1."/>
      <w:lvlJc w:val="left"/>
      <w:pPr>
        <w:ind w:left="360" w:hanging="360"/>
      </w:pPr>
    </w:lvl>
    <w:lvl w:ilvl="1" w:tplc="70583D0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2F7953"/>
    <w:multiLevelType w:val="hybridMultilevel"/>
    <w:tmpl w:val="8E167F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E308C"/>
    <w:multiLevelType w:val="hybridMultilevel"/>
    <w:tmpl w:val="5714F1DA"/>
    <w:lvl w:ilvl="0" w:tplc="9E0E25DC">
      <w:start w:val="6"/>
      <w:numFmt w:val="lowerLetter"/>
      <w:lvlText w:val="%1."/>
      <w:lvlJc w:val="left"/>
      <w:pPr>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6" w15:restartNumberingAfterBreak="0">
    <w:nsid w:val="7AF31A00"/>
    <w:multiLevelType w:val="hybridMultilevel"/>
    <w:tmpl w:val="41EA371E"/>
    <w:lvl w:ilvl="0" w:tplc="0409001B">
      <w:start w:val="1"/>
      <w:numFmt w:val="lowerRoman"/>
      <w:lvlText w:val="%1."/>
      <w:lvlJc w:val="right"/>
      <w:pPr>
        <w:ind w:left="3360" w:hanging="360"/>
      </w:p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num w:numId="1">
    <w:abstractNumId w:val="9"/>
  </w:num>
  <w:num w:numId="2">
    <w:abstractNumId w:val="13"/>
  </w:num>
  <w:num w:numId="3">
    <w:abstractNumId w:val="10"/>
  </w:num>
  <w:num w:numId="4">
    <w:abstractNumId w:val="24"/>
  </w:num>
  <w:num w:numId="5">
    <w:abstractNumId w:val="4"/>
  </w:num>
  <w:num w:numId="6">
    <w:abstractNumId w:val="21"/>
  </w:num>
  <w:num w:numId="7">
    <w:abstractNumId w:val="8"/>
  </w:num>
  <w:num w:numId="8">
    <w:abstractNumId w:val="23"/>
  </w:num>
  <w:num w:numId="9">
    <w:abstractNumId w:val="15"/>
  </w:num>
  <w:num w:numId="10">
    <w:abstractNumId w:val="5"/>
  </w:num>
  <w:num w:numId="11">
    <w:abstractNumId w:val="22"/>
  </w:num>
  <w:num w:numId="12">
    <w:abstractNumId w:val="11"/>
  </w:num>
  <w:num w:numId="13">
    <w:abstractNumId w:val="16"/>
  </w:num>
  <w:num w:numId="14">
    <w:abstractNumId w:val="2"/>
  </w:num>
  <w:num w:numId="15">
    <w:abstractNumId w:val="6"/>
  </w:num>
  <w:num w:numId="16">
    <w:abstractNumId w:val="14"/>
  </w:num>
  <w:num w:numId="17">
    <w:abstractNumId w:val="19"/>
  </w:num>
  <w:num w:numId="18">
    <w:abstractNumId w:val="26"/>
  </w:num>
  <w:num w:numId="19">
    <w:abstractNumId w:val="20"/>
  </w:num>
  <w:num w:numId="20">
    <w:abstractNumId w:val="3"/>
  </w:num>
  <w:num w:numId="21">
    <w:abstractNumId w:val="18"/>
  </w:num>
  <w:num w:numId="22">
    <w:abstractNumId w:val="25"/>
  </w:num>
  <w:num w:numId="23">
    <w:abstractNumId w:val="1"/>
  </w:num>
  <w:num w:numId="24">
    <w:abstractNumId w:val="7"/>
  </w:num>
  <w:num w:numId="25">
    <w:abstractNumId w:val="12"/>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B1"/>
    <w:rsid w:val="00016EF4"/>
    <w:rsid w:val="00022C8A"/>
    <w:rsid w:val="00023831"/>
    <w:rsid w:val="00025334"/>
    <w:rsid w:val="00036841"/>
    <w:rsid w:val="000525E2"/>
    <w:rsid w:val="00061AB8"/>
    <w:rsid w:val="00066D50"/>
    <w:rsid w:val="00070510"/>
    <w:rsid w:val="000C24EF"/>
    <w:rsid w:val="000C73D8"/>
    <w:rsid w:val="000D47E0"/>
    <w:rsid w:val="000D5B62"/>
    <w:rsid w:val="000E228A"/>
    <w:rsid w:val="000E34EC"/>
    <w:rsid w:val="000F0118"/>
    <w:rsid w:val="000F7E90"/>
    <w:rsid w:val="0012309D"/>
    <w:rsid w:val="00124E90"/>
    <w:rsid w:val="00132398"/>
    <w:rsid w:val="001545F8"/>
    <w:rsid w:val="00157499"/>
    <w:rsid w:val="0016464A"/>
    <w:rsid w:val="00170AD2"/>
    <w:rsid w:val="00171E8F"/>
    <w:rsid w:val="00185739"/>
    <w:rsid w:val="001A70E9"/>
    <w:rsid w:val="001E1B8D"/>
    <w:rsid w:val="002376A2"/>
    <w:rsid w:val="002530A3"/>
    <w:rsid w:val="002652DA"/>
    <w:rsid w:val="00273546"/>
    <w:rsid w:val="0028171D"/>
    <w:rsid w:val="00284AEE"/>
    <w:rsid w:val="002A07C6"/>
    <w:rsid w:val="002B217D"/>
    <w:rsid w:val="002C5F29"/>
    <w:rsid w:val="002F2B8A"/>
    <w:rsid w:val="003011C7"/>
    <w:rsid w:val="00301AA8"/>
    <w:rsid w:val="00312275"/>
    <w:rsid w:val="00334A9D"/>
    <w:rsid w:val="00347292"/>
    <w:rsid w:val="003510B5"/>
    <w:rsid w:val="00361BBF"/>
    <w:rsid w:val="00371225"/>
    <w:rsid w:val="00372DF7"/>
    <w:rsid w:val="00373CF0"/>
    <w:rsid w:val="00394390"/>
    <w:rsid w:val="003A3E8D"/>
    <w:rsid w:val="003A467F"/>
    <w:rsid w:val="003B0939"/>
    <w:rsid w:val="003F0374"/>
    <w:rsid w:val="003F0C77"/>
    <w:rsid w:val="003F7160"/>
    <w:rsid w:val="004127D9"/>
    <w:rsid w:val="00436591"/>
    <w:rsid w:val="00480768"/>
    <w:rsid w:val="00484844"/>
    <w:rsid w:val="004866F6"/>
    <w:rsid w:val="0049047C"/>
    <w:rsid w:val="00490FF5"/>
    <w:rsid w:val="004A6490"/>
    <w:rsid w:val="004E0037"/>
    <w:rsid w:val="004F7696"/>
    <w:rsid w:val="005008C5"/>
    <w:rsid w:val="00513EF6"/>
    <w:rsid w:val="00533E95"/>
    <w:rsid w:val="00534CAA"/>
    <w:rsid w:val="0053732B"/>
    <w:rsid w:val="005438CB"/>
    <w:rsid w:val="00561D6D"/>
    <w:rsid w:val="00593E4B"/>
    <w:rsid w:val="005B296E"/>
    <w:rsid w:val="005B69B2"/>
    <w:rsid w:val="005C4B30"/>
    <w:rsid w:val="005F036A"/>
    <w:rsid w:val="005F6C6E"/>
    <w:rsid w:val="006034EC"/>
    <w:rsid w:val="00603AC0"/>
    <w:rsid w:val="00605605"/>
    <w:rsid w:val="00610027"/>
    <w:rsid w:val="0061110D"/>
    <w:rsid w:val="006338B1"/>
    <w:rsid w:val="00640A6F"/>
    <w:rsid w:val="00642E4B"/>
    <w:rsid w:val="006454F9"/>
    <w:rsid w:val="0066050B"/>
    <w:rsid w:val="006A3CC2"/>
    <w:rsid w:val="006B2ED2"/>
    <w:rsid w:val="006B4E30"/>
    <w:rsid w:val="006D25BD"/>
    <w:rsid w:val="007046C2"/>
    <w:rsid w:val="00717F24"/>
    <w:rsid w:val="007251EF"/>
    <w:rsid w:val="00783084"/>
    <w:rsid w:val="00787273"/>
    <w:rsid w:val="007A61F1"/>
    <w:rsid w:val="007E47DC"/>
    <w:rsid w:val="007F1686"/>
    <w:rsid w:val="007F26C3"/>
    <w:rsid w:val="00805910"/>
    <w:rsid w:val="0082109E"/>
    <w:rsid w:val="00823348"/>
    <w:rsid w:val="008259FB"/>
    <w:rsid w:val="00836B8E"/>
    <w:rsid w:val="00856FA1"/>
    <w:rsid w:val="00872303"/>
    <w:rsid w:val="008A05E9"/>
    <w:rsid w:val="008A62E8"/>
    <w:rsid w:val="008B6D99"/>
    <w:rsid w:val="008D496A"/>
    <w:rsid w:val="008E3AE6"/>
    <w:rsid w:val="008E7224"/>
    <w:rsid w:val="009073EC"/>
    <w:rsid w:val="00913054"/>
    <w:rsid w:val="009261F0"/>
    <w:rsid w:val="0093172E"/>
    <w:rsid w:val="009478FB"/>
    <w:rsid w:val="00951B77"/>
    <w:rsid w:val="00960FAB"/>
    <w:rsid w:val="00964A22"/>
    <w:rsid w:val="00965905"/>
    <w:rsid w:val="0098438E"/>
    <w:rsid w:val="00990043"/>
    <w:rsid w:val="009B7479"/>
    <w:rsid w:val="009C106D"/>
    <w:rsid w:val="009C583E"/>
    <w:rsid w:val="009E4A2B"/>
    <w:rsid w:val="009E636E"/>
    <w:rsid w:val="009F0488"/>
    <w:rsid w:val="00A039B0"/>
    <w:rsid w:val="00A20014"/>
    <w:rsid w:val="00A24886"/>
    <w:rsid w:val="00A25232"/>
    <w:rsid w:val="00A37CE9"/>
    <w:rsid w:val="00A40123"/>
    <w:rsid w:val="00A41410"/>
    <w:rsid w:val="00A770DD"/>
    <w:rsid w:val="00A848E2"/>
    <w:rsid w:val="00A9460A"/>
    <w:rsid w:val="00AB677E"/>
    <w:rsid w:val="00AC0FC3"/>
    <w:rsid w:val="00AC59F8"/>
    <w:rsid w:val="00AE6DF0"/>
    <w:rsid w:val="00B019EA"/>
    <w:rsid w:val="00B03F8C"/>
    <w:rsid w:val="00B062EF"/>
    <w:rsid w:val="00B11184"/>
    <w:rsid w:val="00B17B53"/>
    <w:rsid w:val="00B24FB4"/>
    <w:rsid w:val="00B24FEC"/>
    <w:rsid w:val="00B41730"/>
    <w:rsid w:val="00B81457"/>
    <w:rsid w:val="00BA133A"/>
    <w:rsid w:val="00BB507F"/>
    <w:rsid w:val="00BB7AB3"/>
    <w:rsid w:val="00C0102E"/>
    <w:rsid w:val="00C05B8C"/>
    <w:rsid w:val="00C170A5"/>
    <w:rsid w:val="00C21CAA"/>
    <w:rsid w:val="00C220C3"/>
    <w:rsid w:val="00C3385C"/>
    <w:rsid w:val="00C6507D"/>
    <w:rsid w:val="00C71D53"/>
    <w:rsid w:val="00C76BE9"/>
    <w:rsid w:val="00CB21BB"/>
    <w:rsid w:val="00CD113E"/>
    <w:rsid w:val="00CF3AE8"/>
    <w:rsid w:val="00D1168B"/>
    <w:rsid w:val="00D235A9"/>
    <w:rsid w:val="00D37C41"/>
    <w:rsid w:val="00D7793D"/>
    <w:rsid w:val="00DA1F4A"/>
    <w:rsid w:val="00DB6D68"/>
    <w:rsid w:val="00DC0BC7"/>
    <w:rsid w:val="00DC40AB"/>
    <w:rsid w:val="00DE75EB"/>
    <w:rsid w:val="00DE7AF9"/>
    <w:rsid w:val="00DF595F"/>
    <w:rsid w:val="00E410E3"/>
    <w:rsid w:val="00E94EC6"/>
    <w:rsid w:val="00EA3AC7"/>
    <w:rsid w:val="00EB192F"/>
    <w:rsid w:val="00ED6153"/>
    <w:rsid w:val="00EF0A00"/>
    <w:rsid w:val="00EF400A"/>
    <w:rsid w:val="00F41C5D"/>
    <w:rsid w:val="00F73593"/>
    <w:rsid w:val="00FB157C"/>
    <w:rsid w:val="00FB5A60"/>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BF537"/>
  <w15:docId w15:val="{69610CCF-A8E5-4F55-B4CD-74466511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paragraph" w:customStyle="1" w:styleId="CM3">
    <w:name w:val="CM3"/>
    <w:basedOn w:val="Default"/>
    <w:next w:val="Default"/>
    <w:uiPriority w:val="99"/>
    <w:rsid w:val="00787273"/>
    <w:pPr>
      <w:spacing w:line="276" w:lineRule="atLeast"/>
    </w:pPr>
    <w:rPr>
      <w:rFonts w:eastAsiaTheme="minorHAnsi"/>
      <w:color w:val="auto"/>
    </w:rPr>
  </w:style>
  <w:style w:type="paragraph" w:customStyle="1" w:styleId="CM194">
    <w:name w:val="CM194"/>
    <w:basedOn w:val="Default"/>
    <w:next w:val="Default"/>
    <w:uiPriority w:val="99"/>
    <w:rsid w:val="00787273"/>
    <w:rPr>
      <w:rFonts w:eastAsiaTheme="minorHAnsi"/>
      <w:color w:val="auto"/>
    </w:rPr>
  </w:style>
  <w:style w:type="paragraph" w:customStyle="1" w:styleId="CM11">
    <w:name w:val="CM11"/>
    <w:basedOn w:val="Default"/>
    <w:next w:val="Default"/>
    <w:uiPriority w:val="99"/>
    <w:rsid w:val="00787273"/>
    <w:pPr>
      <w:spacing w:line="276" w:lineRule="atLeast"/>
    </w:pPr>
    <w:rPr>
      <w:rFonts w:eastAsiaTheme="minorHAnsi"/>
      <w:color w:val="auto"/>
    </w:rPr>
  </w:style>
  <w:style w:type="paragraph" w:customStyle="1" w:styleId="CM42">
    <w:name w:val="CM42"/>
    <w:basedOn w:val="Default"/>
    <w:next w:val="Default"/>
    <w:uiPriority w:val="99"/>
    <w:rsid w:val="00787273"/>
    <w:pPr>
      <w:spacing w:line="276" w:lineRule="atLeast"/>
    </w:pPr>
    <w:rPr>
      <w:rFonts w:eastAsiaTheme="minorHAnsi"/>
      <w:color w:val="auto"/>
    </w:rPr>
  </w:style>
  <w:style w:type="paragraph" w:styleId="NormalWeb">
    <w:name w:val="Normal (Web)"/>
    <w:basedOn w:val="Normal"/>
    <w:uiPriority w:val="99"/>
    <w:unhideWhenUsed/>
    <w:rsid w:val="005B69B2"/>
    <w:pPr>
      <w:spacing w:before="100" w:beforeAutospacing="1" w:after="100" w:afterAutospacing="1"/>
    </w:pPr>
    <w:rPr>
      <w:rFonts w:eastAsiaTheme="minorHAnsi"/>
      <w:szCs w:val="24"/>
    </w:rPr>
  </w:style>
  <w:style w:type="table" w:styleId="TableGrid">
    <w:name w:val="Table Grid"/>
    <w:basedOn w:val="TableNormal"/>
    <w:uiPriority w:val="39"/>
    <w:rsid w:val="005B69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025334"/>
    <w:pPr>
      <w:spacing w:before="100" w:beforeAutospacing="1" w:after="100" w:afterAutospacing="1"/>
    </w:pPr>
    <w:rPr>
      <w:szCs w:val="24"/>
    </w:rPr>
  </w:style>
  <w:style w:type="character" w:customStyle="1" w:styleId="enumxml">
    <w:name w:val="enumxml"/>
    <w:basedOn w:val="DefaultParagraphFont"/>
    <w:rsid w:val="00025334"/>
  </w:style>
  <w:style w:type="character" w:customStyle="1" w:styleId="et03">
    <w:name w:val="et03"/>
    <w:basedOn w:val="DefaultParagraphFont"/>
    <w:rsid w:val="00025334"/>
  </w:style>
  <w:style w:type="paragraph" w:customStyle="1" w:styleId="psection-2">
    <w:name w:val="psection-2"/>
    <w:basedOn w:val="Normal"/>
    <w:rsid w:val="00025334"/>
    <w:pPr>
      <w:spacing w:before="100" w:beforeAutospacing="1" w:after="100" w:afterAutospacing="1"/>
    </w:pPr>
    <w:rPr>
      <w:szCs w:val="24"/>
    </w:rPr>
  </w:style>
  <w:style w:type="paragraph" w:customStyle="1" w:styleId="psection-3">
    <w:name w:val="psection-3"/>
    <w:basedOn w:val="Normal"/>
    <w:rsid w:val="00025334"/>
    <w:pPr>
      <w:spacing w:before="100" w:beforeAutospacing="1" w:after="100" w:afterAutospacing="1"/>
    </w:pPr>
    <w:rPr>
      <w:szCs w:val="24"/>
    </w:rPr>
  </w:style>
  <w:style w:type="paragraph" w:customStyle="1" w:styleId="psection-4">
    <w:name w:val="psection-4"/>
    <w:basedOn w:val="Normal"/>
    <w:rsid w:val="00025334"/>
    <w:pPr>
      <w:spacing w:before="100" w:beforeAutospacing="1" w:after="100" w:afterAutospacing="1"/>
    </w:pPr>
    <w:rPr>
      <w:szCs w:val="24"/>
    </w:rPr>
  </w:style>
  <w:style w:type="paragraph" w:styleId="NoSpacing">
    <w:name w:val="No Spacing"/>
    <w:uiPriority w:val="1"/>
    <w:qFormat/>
    <w:rsid w:val="00533E95"/>
    <w:pPr>
      <w:spacing w:after="0" w:line="240" w:lineRule="auto"/>
    </w:pPr>
  </w:style>
  <w:style w:type="character" w:styleId="UnresolvedMention">
    <w:name w:val="Unresolved Mention"/>
    <w:basedOn w:val="DefaultParagraphFont"/>
    <w:uiPriority w:val="99"/>
    <w:semiHidden/>
    <w:unhideWhenUsed/>
    <w:rsid w:val="004127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704">
      <w:bodyDiv w:val="1"/>
      <w:marLeft w:val="0"/>
      <w:marRight w:val="0"/>
      <w:marTop w:val="0"/>
      <w:marBottom w:val="0"/>
      <w:divBdr>
        <w:top w:val="none" w:sz="0" w:space="0" w:color="auto"/>
        <w:left w:val="none" w:sz="0" w:space="0" w:color="auto"/>
        <w:bottom w:val="none" w:sz="0" w:space="0" w:color="auto"/>
        <w:right w:val="none" w:sz="0" w:space="0" w:color="auto"/>
      </w:divBdr>
    </w:div>
    <w:div w:id="53235008">
      <w:bodyDiv w:val="1"/>
      <w:marLeft w:val="0"/>
      <w:marRight w:val="0"/>
      <w:marTop w:val="0"/>
      <w:marBottom w:val="0"/>
      <w:divBdr>
        <w:top w:val="none" w:sz="0" w:space="0" w:color="auto"/>
        <w:left w:val="none" w:sz="0" w:space="0" w:color="auto"/>
        <w:bottom w:val="none" w:sz="0" w:space="0" w:color="auto"/>
        <w:right w:val="none" w:sz="0" w:space="0" w:color="auto"/>
      </w:divBdr>
    </w:div>
    <w:div w:id="143282917">
      <w:bodyDiv w:val="1"/>
      <w:marLeft w:val="0"/>
      <w:marRight w:val="0"/>
      <w:marTop w:val="0"/>
      <w:marBottom w:val="0"/>
      <w:divBdr>
        <w:top w:val="none" w:sz="0" w:space="0" w:color="auto"/>
        <w:left w:val="none" w:sz="0" w:space="0" w:color="auto"/>
        <w:bottom w:val="none" w:sz="0" w:space="0" w:color="auto"/>
        <w:right w:val="none" w:sz="0" w:space="0" w:color="auto"/>
      </w:divBdr>
      <w:divsChild>
        <w:div w:id="1408307124">
          <w:marLeft w:val="360"/>
          <w:marRight w:val="0"/>
          <w:marTop w:val="0"/>
          <w:marBottom w:val="0"/>
          <w:divBdr>
            <w:top w:val="none" w:sz="0" w:space="0" w:color="auto"/>
            <w:left w:val="none" w:sz="0" w:space="0" w:color="auto"/>
            <w:bottom w:val="none" w:sz="0" w:space="0" w:color="auto"/>
            <w:right w:val="none" w:sz="0" w:space="0" w:color="auto"/>
          </w:divBdr>
        </w:div>
        <w:div w:id="261884307">
          <w:marLeft w:val="360"/>
          <w:marRight w:val="0"/>
          <w:marTop w:val="0"/>
          <w:marBottom w:val="0"/>
          <w:divBdr>
            <w:top w:val="none" w:sz="0" w:space="0" w:color="auto"/>
            <w:left w:val="none" w:sz="0" w:space="0" w:color="auto"/>
            <w:bottom w:val="none" w:sz="0" w:space="0" w:color="auto"/>
            <w:right w:val="none" w:sz="0" w:space="0" w:color="auto"/>
          </w:divBdr>
        </w:div>
        <w:div w:id="1148012773">
          <w:marLeft w:val="360"/>
          <w:marRight w:val="0"/>
          <w:marTop w:val="0"/>
          <w:marBottom w:val="0"/>
          <w:divBdr>
            <w:top w:val="none" w:sz="0" w:space="0" w:color="auto"/>
            <w:left w:val="none" w:sz="0" w:space="0" w:color="auto"/>
            <w:bottom w:val="none" w:sz="0" w:space="0" w:color="auto"/>
            <w:right w:val="none" w:sz="0" w:space="0" w:color="auto"/>
          </w:divBdr>
        </w:div>
      </w:divsChild>
    </w:div>
    <w:div w:id="166017528">
      <w:bodyDiv w:val="1"/>
      <w:marLeft w:val="0"/>
      <w:marRight w:val="0"/>
      <w:marTop w:val="0"/>
      <w:marBottom w:val="0"/>
      <w:divBdr>
        <w:top w:val="none" w:sz="0" w:space="0" w:color="auto"/>
        <w:left w:val="none" w:sz="0" w:space="0" w:color="auto"/>
        <w:bottom w:val="none" w:sz="0" w:space="0" w:color="auto"/>
        <w:right w:val="none" w:sz="0" w:space="0" w:color="auto"/>
      </w:divBdr>
    </w:div>
    <w:div w:id="210194961">
      <w:bodyDiv w:val="1"/>
      <w:marLeft w:val="0"/>
      <w:marRight w:val="0"/>
      <w:marTop w:val="0"/>
      <w:marBottom w:val="0"/>
      <w:divBdr>
        <w:top w:val="none" w:sz="0" w:space="0" w:color="auto"/>
        <w:left w:val="none" w:sz="0" w:space="0" w:color="auto"/>
        <w:bottom w:val="none" w:sz="0" w:space="0" w:color="auto"/>
        <w:right w:val="none" w:sz="0" w:space="0" w:color="auto"/>
      </w:divBdr>
    </w:div>
    <w:div w:id="231620910">
      <w:bodyDiv w:val="1"/>
      <w:marLeft w:val="0"/>
      <w:marRight w:val="0"/>
      <w:marTop w:val="0"/>
      <w:marBottom w:val="0"/>
      <w:divBdr>
        <w:top w:val="none" w:sz="0" w:space="0" w:color="auto"/>
        <w:left w:val="none" w:sz="0" w:space="0" w:color="auto"/>
        <w:bottom w:val="none" w:sz="0" w:space="0" w:color="auto"/>
        <w:right w:val="none" w:sz="0" w:space="0" w:color="auto"/>
      </w:divBdr>
      <w:divsChild>
        <w:div w:id="851916542">
          <w:marLeft w:val="360"/>
          <w:marRight w:val="0"/>
          <w:marTop w:val="0"/>
          <w:marBottom w:val="0"/>
          <w:divBdr>
            <w:top w:val="none" w:sz="0" w:space="0" w:color="auto"/>
            <w:left w:val="none" w:sz="0" w:space="0" w:color="auto"/>
            <w:bottom w:val="none" w:sz="0" w:space="0" w:color="auto"/>
            <w:right w:val="none" w:sz="0" w:space="0" w:color="auto"/>
          </w:divBdr>
        </w:div>
        <w:div w:id="619073085">
          <w:marLeft w:val="360"/>
          <w:marRight w:val="0"/>
          <w:marTop w:val="0"/>
          <w:marBottom w:val="0"/>
          <w:divBdr>
            <w:top w:val="none" w:sz="0" w:space="0" w:color="auto"/>
            <w:left w:val="none" w:sz="0" w:space="0" w:color="auto"/>
            <w:bottom w:val="none" w:sz="0" w:space="0" w:color="auto"/>
            <w:right w:val="none" w:sz="0" w:space="0" w:color="auto"/>
          </w:divBdr>
        </w:div>
      </w:divsChild>
    </w:div>
    <w:div w:id="260720866">
      <w:bodyDiv w:val="1"/>
      <w:marLeft w:val="0"/>
      <w:marRight w:val="0"/>
      <w:marTop w:val="0"/>
      <w:marBottom w:val="0"/>
      <w:divBdr>
        <w:top w:val="none" w:sz="0" w:space="0" w:color="auto"/>
        <w:left w:val="none" w:sz="0" w:space="0" w:color="auto"/>
        <w:bottom w:val="none" w:sz="0" w:space="0" w:color="auto"/>
        <w:right w:val="none" w:sz="0" w:space="0" w:color="auto"/>
      </w:divBdr>
    </w:div>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358042816">
      <w:bodyDiv w:val="1"/>
      <w:marLeft w:val="0"/>
      <w:marRight w:val="0"/>
      <w:marTop w:val="0"/>
      <w:marBottom w:val="0"/>
      <w:divBdr>
        <w:top w:val="none" w:sz="0" w:space="0" w:color="auto"/>
        <w:left w:val="none" w:sz="0" w:space="0" w:color="auto"/>
        <w:bottom w:val="none" w:sz="0" w:space="0" w:color="auto"/>
        <w:right w:val="none" w:sz="0" w:space="0" w:color="auto"/>
      </w:divBdr>
      <w:divsChild>
        <w:div w:id="285550358">
          <w:marLeft w:val="432"/>
          <w:marRight w:val="0"/>
          <w:marTop w:val="120"/>
          <w:marBottom w:val="0"/>
          <w:divBdr>
            <w:top w:val="none" w:sz="0" w:space="0" w:color="auto"/>
            <w:left w:val="none" w:sz="0" w:space="0" w:color="auto"/>
            <w:bottom w:val="none" w:sz="0" w:space="0" w:color="auto"/>
            <w:right w:val="none" w:sz="0" w:space="0" w:color="auto"/>
          </w:divBdr>
        </w:div>
      </w:divsChild>
    </w:div>
    <w:div w:id="364600445">
      <w:bodyDiv w:val="1"/>
      <w:marLeft w:val="0"/>
      <w:marRight w:val="0"/>
      <w:marTop w:val="0"/>
      <w:marBottom w:val="0"/>
      <w:divBdr>
        <w:top w:val="none" w:sz="0" w:space="0" w:color="auto"/>
        <w:left w:val="none" w:sz="0" w:space="0" w:color="auto"/>
        <w:bottom w:val="none" w:sz="0" w:space="0" w:color="auto"/>
        <w:right w:val="none" w:sz="0" w:space="0" w:color="auto"/>
      </w:divBdr>
      <w:divsChild>
        <w:div w:id="1560938687">
          <w:marLeft w:val="432"/>
          <w:marRight w:val="0"/>
          <w:marTop w:val="120"/>
          <w:marBottom w:val="0"/>
          <w:divBdr>
            <w:top w:val="none" w:sz="0" w:space="0" w:color="auto"/>
            <w:left w:val="none" w:sz="0" w:space="0" w:color="auto"/>
            <w:bottom w:val="none" w:sz="0" w:space="0" w:color="auto"/>
            <w:right w:val="none" w:sz="0" w:space="0" w:color="auto"/>
          </w:divBdr>
        </w:div>
      </w:divsChild>
    </w:div>
    <w:div w:id="406196811">
      <w:bodyDiv w:val="1"/>
      <w:marLeft w:val="0"/>
      <w:marRight w:val="0"/>
      <w:marTop w:val="0"/>
      <w:marBottom w:val="0"/>
      <w:divBdr>
        <w:top w:val="none" w:sz="0" w:space="0" w:color="auto"/>
        <w:left w:val="none" w:sz="0" w:space="0" w:color="auto"/>
        <w:bottom w:val="none" w:sz="0" w:space="0" w:color="auto"/>
        <w:right w:val="none" w:sz="0" w:space="0" w:color="auto"/>
      </w:divBdr>
      <w:divsChild>
        <w:div w:id="547304992">
          <w:marLeft w:val="360"/>
          <w:marRight w:val="0"/>
          <w:marTop w:val="0"/>
          <w:marBottom w:val="0"/>
          <w:divBdr>
            <w:top w:val="none" w:sz="0" w:space="0" w:color="auto"/>
            <w:left w:val="none" w:sz="0" w:space="0" w:color="auto"/>
            <w:bottom w:val="none" w:sz="0" w:space="0" w:color="auto"/>
            <w:right w:val="none" w:sz="0" w:space="0" w:color="auto"/>
          </w:divBdr>
        </w:div>
        <w:div w:id="1875580618">
          <w:marLeft w:val="360"/>
          <w:marRight w:val="0"/>
          <w:marTop w:val="0"/>
          <w:marBottom w:val="0"/>
          <w:divBdr>
            <w:top w:val="none" w:sz="0" w:space="0" w:color="auto"/>
            <w:left w:val="none" w:sz="0" w:space="0" w:color="auto"/>
            <w:bottom w:val="none" w:sz="0" w:space="0" w:color="auto"/>
            <w:right w:val="none" w:sz="0" w:space="0" w:color="auto"/>
          </w:divBdr>
        </w:div>
        <w:div w:id="1583760409">
          <w:marLeft w:val="360"/>
          <w:marRight w:val="0"/>
          <w:marTop w:val="0"/>
          <w:marBottom w:val="0"/>
          <w:divBdr>
            <w:top w:val="none" w:sz="0" w:space="0" w:color="auto"/>
            <w:left w:val="none" w:sz="0" w:space="0" w:color="auto"/>
            <w:bottom w:val="none" w:sz="0" w:space="0" w:color="auto"/>
            <w:right w:val="none" w:sz="0" w:space="0" w:color="auto"/>
          </w:divBdr>
        </w:div>
      </w:divsChild>
    </w:div>
    <w:div w:id="415833157">
      <w:bodyDiv w:val="1"/>
      <w:marLeft w:val="0"/>
      <w:marRight w:val="0"/>
      <w:marTop w:val="0"/>
      <w:marBottom w:val="0"/>
      <w:divBdr>
        <w:top w:val="none" w:sz="0" w:space="0" w:color="auto"/>
        <w:left w:val="none" w:sz="0" w:space="0" w:color="auto"/>
        <w:bottom w:val="none" w:sz="0" w:space="0" w:color="auto"/>
        <w:right w:val="none" w:sz="0" w:space="0" w:color="auto"/>
      </w:divBdr>
      <w:divsChild>
        <w:div w:id="1641957801">
          <w:marLeft w:val="360"/>
          <w:marRight w:val="0"/>
          <w:marTop w:val="0"/>
          <w:marBottom w:val="0"/>
          <w:divBdr>
            <w:top w:val="none" w:sz="0" w:space="0" w:color="auto"/>
            <w:left w:val="none" w:sz="0" w:space="0" w:color="auto"/>
            <w:bottom w:val="none" w:sz="0" w:space="0" w:color="auto"/>
            <w:right w:val="none" w:sz="0" w:space="0" w:color="auto"/>
          </w:divBdr>
        </w:div>
        <w:div w:id="1432316451">
          <w:marLeft w:val="1080"/>
          <w:marRight w:val="0"/>
          <w:marTop w:val="0"/>
          <w:marBottom w:val="0"/>
          <w:divBdr>
            <w:top w:val="none" w:sz="0" w:space="0" w:color="auto"/>
            <w:left w:val="none" w:sz="0" w:space="0" w:color="auto"/>
            <w:bottom w:val="none" w:sz="0" w:space="0" w:color="auto"/>
            <w:right w:val="none" w:sz="0" w:space="0" w:color="auto"/>
          </w:divBdr>
        </w:div>
        <w:div w:id="425464814">
          <w:marLeft w:val="360"/>
          <w:marRight w:val="0"/>
          <w:marTop w:val="0"/>
          <w:marBottom w:val="0"/>
          <w:divBdr>
            <w:top w:val="none" w:sz="0" w:space="0" w:color="auto"/>
            <w:left w:val="none" w:sz="0" w:space="0" w:color="auto"/>
            <w:bottom w:val="none" w:sz="0" w:space="0" w:color="auto"/>
            <w:right w:val="none" w:sz="0" w:space="0" w:color="auto"/>
          </w:divBdr>
        </w:div>
        <w:div w:id="1747146638">
          <w:marLeft w:val="1080"/>
          <w:marRight w:val="0"/>
          <w:marTop w:val="0"/>
          <w:marBottom w:val="0"/>
          <w:divBdr>
            <w:top w:val="none" w:sz="0" w:space="0" w:color="auto"/>
            <w:left w:val="none" w:sz="0" w:space="0" w:color="auto"/>
            <w:bottom w:val="none" w:sz="0" w:space="0" w:color="auto"/>
            <w:right w:val="none" w:sz="0" w:space="0" w:color="auto"/>
          </w:divBdr>
        </w:div>
        <w:div w:id="739593979">
          <w:marLeft w:val="1080"/>
          <w:marRight w:val="0"/>
          <w:marTop w:val="0"/>
          <w:marBottom w:val="0"/>
          <w:divBdr>
            <w:top w:val="none" w:sz="0" w:space="0" w:color="auto"/>
            <w:left w:val="none" w:sz="0" w:space="0" w:color="auto"/>
            <w:bottom w:val="none" w:sz="0" w:space="0" w:color="auto"/>
            <w:right w:val="none" w:sz="0" w:space="0" w:color="auto"/>
          </w:divBdr>
        </w:div>
      </w:divsChild>
    </w:div>
    <w:div w:id="424810070">
      <w:bodyDiv w:val="1"/>
      <w:marLeft w:val="0"/>
      <w:marRight w:val="0"/>
      <w:marTop w:val="0"/>
      <w:marBottom w:val="0"/>
      <w:divBdr>
        <w:top w:val="none" w:sz="0" w:space="0" w:color="auto"/>
        <w:left w:val="none" w:sz="0" w:space="0" w:color="auto"/>
        <w:bottom w:val="none" w:sz="0" w:space="0" w:color="auto"/>
        <w:right w:val="none" w:sz="0" w:space="0" w:color="auto"/>
      </w:divBdr>
      <w:divsChild>
        <w:div w:id="1701127573">
          <w:marLeft w:val="360"/>
          <w:marRight w:val="0"/>
          <w:marTop w:val="0"/>
          <w:marBottom w:val="0"/>
          <w:divBdr>
            <w:top w:val="none" w:sz="0" w:space="0" w:color="auto"/>
            <w:left w:val="none" w:sz="0" w:space="0" w:color="auto"/>
            <w:bottom w:val="none" w:sz="0" w:space="0" w:color="auto"/>
            <w:right w:val="none" w:sz="0" w:space="0" w:color="auto"/>
          </w:divBdr>
        </w:div>
        <w:div w:id="1308390785">
          <w:marLeft w:val="360"/>
          <w:marRight w:val="0"/>
          <w:marTop w:val="0"/>
          <w:marBottom w:val="0"/>
          <w:divBdr>
            <w:top w:val="none" w:sz="0" w:space="0" w:color="auto"/>
            <w:left w:val="none" w:sz="0" w:space="0" w:color="auto"/>
            <w:bottom w:val="none" w:sz="0" w:space="0" w:color="auto"/>
            <w:right w:val="none" w:sz="0" w:space="0" w:color="auto"/>
          </w:divBdr>
        </w:div>
        <w:div w:id="277107058">
          <w:marLeft w:val="360"/>
          <w:marRight w:val="0"/>
          <w:marTop w:val="0"/>
          <w:marBottom w:val="0"/>
          <w:divBdr>
            <w:top w:val="none" w:sz="0" w:space="0" w:color="auto"/>
            <w:left w:val="none" w:sz="0" w:space="0" w:color="auto"/>
            <w:bottom w:val="none" w:sz="0" w:space="0" w:color="auto"/>
            <w:right w:val="none" w:sz="0" w:space="0" w:color="auto"/>
          </w:divBdr>
        </w:div>
      </w:divsChild>
    </w:div>
    <w:div w:id="444428229">
      <w:bodyDiv w:val="1"/>
      <w:marLeft w:val="0"/>
      <w:marRight w:val="0"/>
      <w:marTop w:val="0"/>
      <w:marBottom w:val="0"/>
      <w:divBdr>
        <w:top w:val="none" w:sz="0" w:space="0" w:color="auto"/>
        <w:left w:val="none" w:sz="0" w:space="0" w:color="auto"/>
        <w:bottom w:val="none" w:sz="0" w:space="0" w:color="auto"/>
        <w:right w:val="none" w:sz="0" w:space="0" w:color="auto"/>
      </w:divBdr>
    </w:div>
    <w:div w:id="497697228">
      <w:bodyDiv w:val="1"/>
      <w:marLeft w:val="0"/>
      <w:marRight w:val="0"/>
      <w:marTop w:val="0"/>
      <w:marBottom w:val="0"/>
      <w:divBdr>
        <w:top w:val="none" w:sz="0" w:space="0" w:color="auto"/>
        <w:left w:val="none" w:sz="0" w:space="0" w:color="auto"/>
        <w:bottom w:val="none" w:sz="0" w:space="0" w:color="auto"/>
        <w:right w:val="none" w:sz="0" w:space="0" w:color="auto"/>
      </w:divBdr>
      <w:divsChild>
        <w:div w:id="2078356124">
          <w:marLeft w:val="432"/>
          <w:marRight w:val="0"/>
          <w:marTop w:val="120"/>
          <w:marBottom w:val="0"/>
          <w:divBdr>
            <w:top w:val="none" w:sz="0" w:space="0" w:color="auto"/>
            <w:left w:val="none" w:sz="0" w:space="0" w:color="auto"/>
            <w:bottom w:val="none" w:sz="0" w:space="0" w:color="auto"/>
            <w:right w:val="none" w:sz="0" w:space="0" w:color="auto"/>
          </w:divBdr>
        </w:div>
        <w:div w:id="1535195668">
          <w:marLeft w:val="432"/>
          <w:marRight w:val="0"/>
          <w:marTop w:val="120"/>
          <w:marBottom w:val="0"/>
          <w:divBdr>
            <w:top w:val="none" w:sz="0" w:space="0" w:color="auto"/>
            <w:left w:val="none" w:sz="0" w:space="0" w:color="auto"/>
            <w:bottom w:val="none" w:sz="0" w:space="0" w:color="auto"/>
            <w:right w:val="none" w:sz="0" w:space="0" w:color="auto"/>
          </w:divBdr>
        </w:div>
        <w:div w:id="953288081">
          <w:marLeft w:val="432"/>
          <w:marRight w:val="0"/>
          <w:marTop w:val="120"/>
          <w:marBottom w:val="0"/>
          <w:divBdr>
            <w:top w:val="none" w:sz="0" w:space="0" w:color="auto"/>
            <w:left w:val="none" w:sz="0" w:space="0" w:color="auto"/>
            <w:bottom w:val="none" w:sz="0" w:space="0" w:color="auto"/>
            <w:right w:val="none" w:sz="0" w:space="0" w:color="auto"/>
          </w:divBdr>
        </w:div>
        <w:div w:id="1184169993">
          <w:marLeft w:val="432"/>
          <w:marRight w:val="0"/>
          <w:marTop w:val="120"/>
          <w:marBottom w:val="0"/>
          <w:divBdr>
            <w:top w:val="none" w:sz="0" w:space="0" w:color="auto"/>
            <w:left w:val="none" w:sz="0" w:space="0" w:color="auto"/>
            <w:bottom w:val="none" w:sz="0" w:space="0" w:color="auto"/>
            <w:right w:val="none" w:sz="0" w:space="0" w:color="auto"/>
          </w:divBdr>
        </w:div>
        <w:div w:id="31419792">
          <w:marLeft w:val="432"/>
          <w:marRight w:val="0"/>
          <w:marTop w:val="120"/>
          <w:marBottom w:val="0"/>
          <w:divBdr>
            <w:top w:val="none" w:sz="0" w:space="0" w:color="auto"/>
            <w:left w:val="none" w:sz="0" w:space="0" w:color="auto"/>
            <w:bottom w:val="none" w:sz="0" w:space="0" w:color="auto"/>
            <w:right w:val="none" w:sz="0" w:space="0" w:color="auto"/>
          </w:divBdr>
        </w:div>
        <w:div w:id="399015419">
          <w:marLeft w:val="432"/>
          <w:marRight w:val="0"/>
          <w:marTop w:val="120"/>
          <w:marBottom w:val="0"/>
          <w:divBdr>
            <w:top w:val="none" w:sz="0" w:space="0" w:color="auto"/>
            <w:left w:val="none" w:sz="0" w:space="0" w:color="auto"/>
            <w:bottom w:val="none" w:sz="0" w:space="0" w:color="auto"/>
            <w:right w:val="none" w:sz="0" w:space="0" w:color="auto"/>
          </w:divBdr>
        </w:div>
        <w:div w:id="2013682322">
          <w:marLeft w:val="432"/>
          <w:marRight w:val="0"/>
          <w:marTop w:val="120"/>
          <w:marBottom w:val="0"/>
          <w:divBdr>
            <w:top w:val="none" w:sz="0" w:space="0" w:color="auto"/>
            <w:left w:val="none" w:sz="0" w:space="0" w:color="auto"/>
            <w:bottom w:val="none" w:sz="0" w:space="0" w:color="auto"/>
            <w:right w:val="none" w:sz="0" w:space="0" w:color="auto"/>
          </w:divBdr>
        </w:div>
        <w:div w:id="247345341">
          <w:marLeft w:val="432"/>
          <w:marRight w:val="0"/>
          <w:marTop w:val="120"/>
          <w:marBottom w:val="0"/>
          <w:divBdr>
            <w:top w:val="none" w:sz="0" w:space="0" w:color="auto"/>
            <w:left w:val="none" w:sz="0" w:space="0" w:color="auto"/>
            <w:bottom w:val="none" w:sz="0" w:space="0" w:color="auto"/>
            <w:right w:val="none" w:sz="0" w:space="0" w:color="auto"/>
          </w:divBdr>
        </w:div>
        <w:div w:id="1600141997">
          <w:marLeft w:val="432"/>
          <w:marRight w:val="0"/>
          <w:marTop w:val="120"/>
          <w:marBottom w:val="0"/>
          <w:divBdr>
            <w:top w:val="none" w:sz="0" w:space="0" w:color="auto"/>
            <w:left w:val="none" w:sz="0" w:space="0" w:color="auto"/>
            <w:bottom w:val="none" w:sz="0" w:space="0" w:color="auto"/>
            <w:right w:val="none" w:sz="0" w:space="0" w:color="auto"/>
          </w:divBdr>
        </w:div>
        <w:div w:id="1416048325">
          <w:marLeft w:val="432"/>
          <w:marRight w:val="0"/>
          <w:marTop w:val="120"/>
          <w:marBottom w:val="0"/>
          <w:divBdr>
            <w:top w:val="none" w:sz="0" w:space="0" w:color="auto"/>
            <w:left w:val="none" w:sz="0" w:space="0" w:color="auto"/>
            <w:bottom w:val="none" w:sz="0" w:space="0" w:color="auto"/>
            <w:right w:val="none" w:sz="0" w:space="0" w:color="auto"/>
          </w:divBdr>
        </w:div>
        <w:div w:id="1765177560">
          <w:marLeft w:val="432"/>
          <w:marRight w:val="0"/>
          <w:marTop w:val="120"/>
          <w:marBottom w:val="0"/>
          <w:divBdr>
            <w:top w:val="none" w:sz="0" w:space="0" w:color="auto"/>
            <w:left w:val="none" w:sz="0" w:space="0" w:color="auto"/>
            <w:bottom w:val="none" w:sz="0" w:space="0" w:color="auto"/>
            <w:right w:val="none" w:sz="0" w:space="0" w:color="auto"/>
          </w:divBdr>
        </w:div>
      </w:divsChild>
    </w:div>
    <w:div w:id="503711396">
      <w:bodyDiv w:val="1"/>
      <w:marLeft w:val="0"/>
      <w:marRight w:val="0"/>
      <w:marTop w:val="0"/>
      <w:marBottom w:val="0"/>
      <w:divBdr>
        <w:top w:val="none" w:sz="0" w:space="0" w:color="auto"/>
        <w:left w:val="none" w:sz="0" w:space="0" w:color="auto"/>
        <w:bottom w:val="none" w:sz="0" w:space="0" w:color="auto"/>
        <w:right w:val="none" w:sz="0" w:space="0" w:color="auto"/>
      </w:divBdr>
      <w:divsChild>
        <w:div w:id="1022902675">
          <w:marLeft w:val="432"/>
          <w:marRight w:val="0"/>
          <w:marTop w:val="120"/>
          <w:marBottom w:val="0"/>
          <w:divBdr>
            <w:top w:val="none" w:sz="0" w:space="0" w:color="auto"/>
            <w:left w:val="none" w:sz="0" w:space="0" w:color="auto"/>
            <w:bottom w:val="none" w:sz="0" w:space="0" w:color="auto"/>
            <w:right w:val="none" w:sz="0" w:space="0" w:color="auto"/>
          </w:divBdr>
        </w:div>
        <w:div w:id="750811871">
          <w:marLeft w:val="432"/>
          <w:marRight w:val="0"/>
          <w:marTop w:val="120"/>
          <w:marBottom w:val="0"/>
          <w:divBdr>
            <w:top w:val="none" w:sz="0" w:space="0" w:color="auto"/>
            <w:left w:val="none" w:sz="0" w:space="0" w:color="auto"/>
            <w:bottom w:val="none" w:sz="0" w:space="0" w:color="auto"/>
            <w:right w:val="none" w:sz="0" w:space="0" w:color="auto"/>
          </w:divBdr>
        </w:div>
        <w:div w:id="1365053715">
          <w:marLeft w:val="432"/>
          <w:marRight w:val="0"/>
          <w:marTop w:val="120"/>
          <w:marBottom w:val="0"/>
          <w:divBdr>
            <w:top w:val="none" w:sz="0" w:space="0" w:color="auto"/>
            <w:left w:val="none" w:sz="0" w:space="0" w:color="auto"/>
            <w:bottom w:val="none" w:sz="0" w:space="0" w:color="auto"/>
            <w:right w:val="none" w:sz="0" w:space="0" w:color="auto"/>
          </w:divBdr>
        </w:div>
        <w:div w:id="1115444422">
          <w:marLeft w:val="432"/>
          <w:marRight w:val="0"/>
          <w:marTop w:val="120"/>
          <w:marBottom w:val="0"/>
          <w:divBdr>
            <w:top w:val="none" w:sz="0" w:space="0" w:color="auto"/>
            <w:left w:val="none" w:sz="0" w:space="0" w:color="auto"/>
            <w:bottom w:val="none" w:sz="0" w:space="0" w:color="auto"/>
            <w:right w:val="none" w:sz="0" w:space="0" w:color="auto"/>
          </w:divBdr>
        </w:div>
        <w:div w:id="2048872138">
          <w:marLeft w:val="432"/>
          <w:marRight w:val="0"/>
          <w:marTop w:val="120"/>
          <w:marBottom w:val="0"/>
          <w:divBdr>
            <w:top w:val="none" w:sz="0" w:space="0" w:color="auto"/>
            <w:left w:val="none" w:sz="0" w:space="0" w:color="auto"/>
            <w:bottom w:val="none" w:sz="0" w:space="0" w:color="auto"/>
            <w:right w:val="none" w:sz="0" w:space="0" w:color="auto"/>
          </w:divBdr>
        </w:div>
        <w:div w:id="1895577998">
          <w:marLeft w:val="432"/>
          <w:marRight w:val="0"/>
          <w:marTop w:val="120"/>
          <w:marBottom w:val="0"/>
          <w:divBdr>
            <w:top w:val="none" w:sz="0" w:space="0" w:color="auto"/>
            <w:left w:val="none" w:sz="0" w:space="0" w:color="auto"/>
            <w:bottom w:val="none" w:sz="0" w:space="0" w:color="auto"/>
            <w:right w:val="none" w:sz="0" w:space="0" w:color="auto"/>
          </w:divBdr>
        </w:div>
        <w:div w:id="2085446887">
          <w:marLeft w:val="432"/>
          <w:marRight w:val="0"/>
          <w:marTop w:val="120"/>
          <w:marBottom w:val="0"/>
          <w:divBdr>
            <w:top w:val="none" w:sz="0" w:space="0" w:color="auto"/>
            <w:left w:val="none" w:sz="0" w:space="0" w:color="auto"/>
            <w:bottom w:val="none" w:sz="0" w:space="0" w:color="auto"/>
            <w:right w:val="none" w:sz="0" w:space="0" w:color="auto"/>
          </w:divBdr>
        </w:div>
        <w:div w:id="1438449885">
          <w:marLeft w:val="432"/>
          <w:marRight w:val="0"/>
          <w:marTop w:val="120"/>
          <w:marBottom w:val="0"/>
          <w:divBdr>
            <w:top w:val="none" w:sz="0" w:space="0" w:color="auto"/>
            <w:left w:val="none" w:sz="0" w:space="0" w:color="auto"/>
            <w:bottom w:val="none" w:sz="0" w:space="0" w:color="auto"/>
            <w:right w:val="none" w:sz="0" w:space="0" w:color="auto"/>
          </w:divBdr>
        </w:div>
        <w:div w:id="2139227389">
          <w:marLeft w:val="432"/>
          <w:marRight w:val="0"/>
          <w:marTop w:val="120"/>
          <w:marBottom w:val="0"/>
          <w:divBdr>
            <w:top w:val="none" w:sz="0" w:space="0" w:color="auto"/>
            <w:left w:val="none" w:sz="0" w:space="0" w:color="auto"/>
            <w:bottom w:val="none" w:sz="0" w:space="0" w:color="auto"/>
            <w:right w:val="none" w:sz="0" w:space="0" w:color="auto"/>
          </w:divBdr>
        </w:div>
        <w:div w:id="279341142">
          <w:marLeft w:val="432"/>
          <w:marRight w:val="0"/>
          <w:marTop w:val="120"/>
          <w:marBottom w:val="0"/>
          <w:divBdr>
            <w:top w:val="none" w:sz="0" w:space="0" w:color="auto"/>
            <w:left w:val="none" w:sz="0" w:space="0" w:color="auto"/>
            <w:bottom w:val="none" w:sz="0" w:space="0" w:color="auto"/>
            <w:right w:val="none" w:sz="0" w:space="0" w:color="auto"/>
          </w:divBdr>
        </w:div>
        <w:div w:id="1027408997">
          <w:marLeft w:val="432"/>
          <w:marRight w:val="0"/>
          <w:marTop w:val="120"/>
          <w:marBottom w:val="0"/>
          <w:divBdr>
            <w:top w:val="none" w:sz="0" w:space="0" w:color="auto"/>
            <w:left w:val="none" w:sz="0" w:space="0" w:color="auto"/>
            <w:bottom w:val="none" w:sz="0" w:space="0" w:color="auto"/>
            <w:right w:val="none" w:sz="0" w:space="0" w:color="auto"/>
          </w:divBdr>
        </w:div>
      </w:divsChild>
    </w:div>
    <w:div w:id="535512340">
      <w:bodyDiv w:val="1"/>
      <w:marLeft w:val="0"/>
      <w:marRight w:val="0"/>
      <w:marTop w:val="0"/>
      <w:marBottom w:val="0"/>
      <w:divBdr>
        <w:top w:val="none" w:sz="0" w:space="0" w:color="auto"/>
        <w:left w:val="none" w:sz="0" w:space="0" w:color="auto"/>
        <w:bottom w:val="none" w:sz="0" w:space="0" w:color="auto"/>
        <w:right w:val="none" w:sz="0" w:space="0" w:color="auto"/>
      </w:divBdr>
    </w:div>
    <w:div w:id="636567167">
      <w:bodyDiv w:val="1"/>
      <w:marLeft w:val="0"/>
      <w:marRight w:val="0"/>
      <w:marTop w:val="0"/>
      <w:marBottom w:val="0"/>
      <w:divBdr>
        <w:top w:val="none" w:sz="0" w:space="0" w:color="auto"/>
        <w:left w:val="none" w:sz="0" w:space="0" w:color="auto"/>
        <w:bottom w:val="none" w:sz="0" w:space="0" w:color="auto"/>
        <w:right w:val="none" w:sz="0" w:space="0" w:color="auto"/>
      </w:divBdr>
    </w:div>
    <w:div w:id="671185639">
      <w:bodyDiv w:val="1"/>
      <w:marLeft w:val="0"/>
      <w:marRight w:val="0"/>
      <w:marTop w:val="0"/>
      <w:marBottom w:val="0"/>
      <w:divBdr>
        <w:top w:val="none" w:sz="0" w:space="0" w:color="auto"/>
        <w:left w:val="none" w:sz="0" w:space="0" w:color="auto"/>
        <w:bottom w:val="none" w:sz="0" w:space="0" w:color="auto"/>
        <w:right w:val="none" w:sz="0" w:space="0" w:color="auto"/>
      </w:divBdr>
    </w:div>
    <w:div w:id="689339749">
      <w:bodyDiv w:val="1"/>
      <w:marLeft w:val="0"/>
      <w:marRight w:val="0"/>
      <w:marTop w:val="0"/>
      <w:marBottom w:val="0"/>
      <w:divBdr>
        <w:top w:val="none" w:sz="0" w:space="0" w:color="auto"/>
        <w:left w:val="none" w:sz="0" w:space="0" w:color="auto"/>
        <w:bottom w:val="none" w:sz="0" w:space="0" w:color="auto"/>
        <w:right w:val="none" w:sz="0" w:space="0" w:color="auto"/>
      </w:divBdr>
    </w:div>
    <w:div w:id="699280361">
      <w:bodyDiv w:val="1"/>
      <w:marLeft w:val="0"/>
      <w:marRight w:val="0"/>
      <w:marTop w:val="0"/>
      <w:marBottom w:val="0"/>
      <w:divBdr>
        <w:top w:val="none" w:sz="0" w:space="0" w:color="auto"/>
        <w:left w:val="none" w:sz="0" w:space="0" w:color="auto"/>
        <w:bottom w:val="none" w:sz="0" w:space="0" w:color="auto"/>
        <w:right w:val="none" w:sz="0" w:space="0" w:color="auto"/>
      </w:divBdr>
    </w:div>
    <w:div w:id="733889799">
      <w:bodyDiv w:val="1"/>
      <w:marLeft w:val="0"/>
      <w:marRight w:val="0"/>
      <w:marTop w:val="0"/>
      <w:marBottom w:val="0"/>
      <w:divBdr>
        <w:top w:val="none" w:sz="0" w:space="0" w:color="auto"/>
        <w:left w:val="none" w:sz="0" w:space="0" w:color="auto"/>
        <w:bottom w:val="none" w:sz="0" w:space="0" w:color="auto"/>
        <w:right w:val="none" w:sz="0" w:space="0" w:color="auto"/>
      </w:divBdr>
    </w:div>
    <w:div w:id="749733730">
      <w:bodyDiv w:val="1"/>
      <w:marLeft w:val="0"/>
      <w:marRight w:val="0"/>
      <w:marTop w:val="0"/>
      <w:marBottom w:val="0"/>
      <w:divBdr>
        <w:top w:val="none" w:sz="0" w:space="0" w:color="auto"/>
        <w:left w:val="none" w:sz="0" w:space="0" w:color="auto"/>
        <w:bottom w:val="none" w:sz="0" w:space="0" w:color="auto"/>
        <w:right w:val="none" w:sz="0" w:space="0" w:color="auto"/>
      </w:divBdr>
      <w:divsChild>
        <w:div w:id="970944034">
          <w:marLeft w:val="0"/>
          <w:marRight w:val="0"/>
          <w:marTop w:val="0"/>
          <w:marBottom w:val="0"/>
          <w:divBdr>
            <w:top w:val="none" w:sz="0" w:space="0" w:color="auto"/>
            <w:left w:val="none" w:sz="0" w:space="0" w:color="auto"/>
            <w:bottom w:val="none" w:sz="0" w:space="0" w:color="auto"/>
            <w:right w:val="none" w:sz="0" w:space="0" w:color="auto"/>
          </w:divBdr>
        </w:div>
      </w:divsChild>
    </w:div>
    <w:div w:id="779564921">
      <w:bodyDiv w:val="1"/>
      <w:marLeft w:val="0"/>
      <w:marRight w:val="0"/>
      <w:marTop w:val="0"/>
      <w:marBottom w:val="0"/>
      <w:divBdr>
        <w:top w:val="none" w:sz="0" w:space="0" w:color="auto"/>
        <w:left w:val="none" w:sz="0" w:space="0" w:color="auto"/>
        <w:bottom w:val="none" w:sz="0" w:space="0" w:color="auto"/>
        <w:right w:val="none" w:sz="0" w:space="0" w:color="auto"/>
      </w:divBdr>
      <w:divsChild>
        <w:div w:id="227155574">
          <w:marLeft w:val="403"/>
          <w:marRight w:val="0"/>
          <w:marTop w:val="134"/>
          <w:marBottom w:val="0"/>
          <w:divBdr>
            <w:top w:val="none" w:sz="0" w:space="0" w:color="auto"/>
            <w:left w:val="none" w:sz="0" w:space="0" w:color="auto"/>
            <w:bottom w:val="none" w:sz="0" w:space="0" w:color="auto"/>
            <w:right w:val="none" w:sz="0" w:space="0" w:color="auto"/>
          </w:divBdr>
        </w:div>
      </w:divsChild>
    </w:div>
    <w:div w:id="796021184">
      <w:bodyDiv w:val="1"/>
      <w:marLeft w:val="0"/>
      <w:marRight w:val="0"/>
      <w:marTop w:val="0"/>
      <w:marBottom w:val="0"/>
      <w:divBdr>
        <w:top w:val="none" w:sz="0" w:space="0" w:color="auto"/>
        <w:left w:val="none" w:sz="0" w:space="0" w:color="auto"/>
        <w:bottom w:val="none" w:sz="0" w:space="0" w:color="auto"/>
        <w:right w:val="none" w:sz="0" w:space="0" w:color="auto"/>
      </w:divBdr>
    </w:div>
    <w:div w:id="822551581">
      <w:bodyDiv w:val="1"/>
      <w:marLeft w:val="0"/>
      <w:marRight w:val="0"/>
      <w:marTop w:val="0"/>
      <w:marBottom w:val="0"/>
      <w:divBdr>
        <w:top w:val="none" w:sz="0" w:space="0" w:color="auto"/>
        <w:left w:val="none" w:sz="0" w:space="0" w:color="auto"/>
        <w:bottom w:val="none" w:sz="0" w:space="0" w:color="auto"/>
        <w:right w:val="none" w:sz="0" w:space="0" w:color="auto"/>
      </w:divBdr>
    </w:div>
    <w:div w:id="828516984">
      <w:bodyDiv w:val="1"/>
      <w:marLeft w:val="0"/>
      <w:marRight w:val="0"/>
      <w:marTop w:val="0"/>
      <w:marBottom w:val="0"/>
      <w:divBdr>
        <w:top w:val="none" w:sz="0" w:space="0" w:color="auto"/>
        <w:left w:val="none" w:sz="0" w:space="0" w:color="auto"/>
        <w:bottom w:val="none" w:sz="0" w:space="0" w:color="auto"/>
        <w:right w:val="none" w:sz="0" w:space="0" w:color="auto"/>
      </w:divBdr>
    </w:div>
    <w:div w:id="859051966">
      <w:bodyDiv w:val="1"/>
      <w:marLeft w:val="0"/>
      <w:marRight w:val="0"/>
      <w:marTop w:val="0"/>
      <w:marBottom w:val="0"/>
      <w:divBdr>
        <w:top w:val="none" w:sz="0" w:space="0" w:color="auto"/>
        <w:left w:val="none" w:sz="0" w:space="0" w:color="auto"/>
        <w:bottom w:val="none" w:sz="0" w:space="0" w:color="auto"/>
        <w:right w:val="none" w:sz="0" w:space="0" w:color="auto"/>
      </w:divBdr>
      <w:divsChild>
        <w:div w:id="1567759346">
          <w:marLeft w:val="360"/>
          <w:marRight w:val="0"/>
          <w:marTop w:val="0"/>
          <w:marBottom w:val="0"/>
          <w:divBdr>
            <w:top w:val="none" w:sz="0" w:space="0" w:color="auto"/>
            <w:left w:val="none" w:sz="0" w:space="0" w:color="auto"/>
            <w:bottom w:val="none" w:sz="0" w:space="0" w:color="auto"/>
            <w:right w:val="none" w:sz="0" w:space="0" w:color="auto"/>
          </w:divBdr>
        </w:div>
        <w:div w:id="1250702395">
          <w:marLeft w:val="360"/>
          <w:marRight w:val="0"/>
          <w:marTop w:val="0"/>
          <w:marBottom w:val="0"/>
          <w:divBdr>
            <w:top w:val="none" w:sz="0" w:space="0" w:color="auto"/>
            <w:left w:val="none" w:sz="0" w:space="0" w:color="auto"/>
            <w:bottom w:val="none" w:sz="0" w:space="0" w:color="auto"/>
            <w:right w:val="none" w:sz="0" w:space="0" w:color="auto"/>
          </w:divBdr>
        </w:div>
        <w:div w:id="515584328">
          <w:marLeft w:val="360"/>
          <w:marRight w:val="0"/>
          <w:marTop w:val="0"/>
          <w:marBottom w:val="0"/>
          <w:divBdr>
            <w:top w:val="none" w:sz="0" w:space="0" w:color="auto"/>
            <w:left w:val="none" w:sz="0" w:space="0" w:color="auto"/>
            <w:bottom w:val="none" w:sz="0" w:space="0" w:color="auto"/>
            <w:right w:val="none" w:sz="0" w:space="0" w:color="auto"/>
          </w:divBdr>
        </w:div>
      </w:divsChild>
    </w:div>
    <w:div w:id="932930172">
      <w:bodyDiv w:val="1"/>
      <w:marLeft w:val="0"/>
      <w:marRight w:val="0"/>
      <w:marTop w:val="0"/>
      <w:marBottom w:val="0"/>
      <w:divBdr>
        <w:top w:val="none" w:sz="0" w:space="0" w:color="auto"/>
        <w:left w:val="none" w:sz="0" w:space="0" w:color="auto"/>
        <w:bottom w:val="none" w:sz="0" w:space="0" w:color="auto"/>
        <w:right w:val="none" w:sz="0" w:space="0" w:color="auto"/>
      </w:divBdr>
    </w:div>
    <w:div w:id="996113150">
      <w:bodyDiv w:val="1"/>
      <w:marLeft w:val="0"/>
      <w:marRight w:val="0"/>
      <w:marTop w:val="0"/>
      <w:marBottom w:val="0"/>
      <w:divBdr>
        <w:top w:val="none" w:sz="0" w:space="0" w:color="auto"/>
        <w:left w:val="none" w:sz="0" w:space="0" w:color="auto"/>
        <w:bottom w:val="none" w:sz="0" w:space="0" w:color="auto"/>
        <w:right w:val="none" w:sz="0" w:space="0" w:color="auto"/>
      </w:divBdr>
    </w:div>
    <w:div w:id="1139768683">
      <w:bodyDiv w:val="1"/>
      <w:marLeft w:val="0"/>
      <w:marRight w:val="0"/>
      <w:marTop w:val="0"/>
      <w:marBottom w:val="0"/>
      <w:divBdr>
        <w:top w:val="none" w:sz="0" w:space="0" w:color="auto"/>
        <w:left w:val="none" w:sz="0" w:space="0" w:color="auto"/>
        <w:bottom w:val="none" w:sz="0" w:space="0" w:color="auto"/>
        <w:right w:val="none" w:sz="0" w:space="0" w:color="auto"/>
      </w:divBdr>
    </w:div>
    <w:div w:id="1158379829">
      <w:bodyDiv w:val="1"/>
      <w:marLeft w:val="0"/>
      <w:marRight w:val="0"/>
      <w:marTop w:val="0"/>
      <w:marBottom w:val="0"/>
      <w:divBdr>
        <w:top w:val="none" w:sz="0" w:space="0" w:color="auto"/>
        <w:left w:val="none" w:sz="0" w:space="0" w:color="auto"/>
        <w:bottom w:val="none" w:sz="0" w:space="0" w:color="auto"/>
        <w:right w:val="none" w:sz="0" w:space="0" w:color="auto"/>
      </w:divBdr>
    </w:div>
    <w:div w:id="1203402259">
      <w:bodyDiv w:val="1"/>
      <w:marLeft w:val="0"/>
      <w:marRight w:val="0"/>
      <w:marTop w:val="0"/>
      <w:marBottom w:val="0"/>
      <w:divBdr>
        <w:top w:val="none" w:sz="0" w:space="0" w:color="auto"/>
        <w:left w:val="none" w:sz="0" w:space="0" w:color="auto"/>
        <w:bottom w:val="none" w:sz="0" w:space="0" w:color="auto"/>
        <w:right w:val="none" w:sz="0" w:space="0" w:color="auto"/>
      </w:divBdr>
    </w:div>
    <w:div w:id="1211648668">
      <w:bodyDiv w:val="1"/>
      <w:marLeft w:val="0"/>
      <w:marRight w:val="0"/>
      <w:marTop w:val="0"/>
      <w:marBottom w:val="0"/>
      <w:divBdr>
        <w:top w:val="none" w:sz="0" w:space="0" w:color="auto"/>
        <w:left w:val="none" w:sz="0" w:space="0" w:color="auto"/>
        <w:bottom w:val="none" w:sz="0" w:space="0" w:color="auto"/>
        <w:right w:val="none" w:sz="0" w:space="0" w:color="auto"/>
      </w:divBdr>
    </w:div>
    <w:div w:id="1274290325">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 w:id="1436637168">
      <w:bodyDiv w:val="1"/>
      <w:marLeft w:val="0"/>
      <w:marRight w:val="0"/>
      <w:marTop w:val="0"/>
      <w:marBottom w:val="0"/>
      <w:divBdr>
        <w:top w:val="none" w:sz="0" w:space="0" w:color="auto"/>
        <w:left w:val="none" w:sz="0" w:space="0" w:color="auto"/>
        <w:bottom w:val="none" w:sz="0" w:space="0" w:color="auto"/>
        <w:right w:val="none" w:sz="0" w:space="0" w:color="auto"/>
      </w:divBdr>
    </w:div>
    <w:div w:id="1461605113">
      <w:bodyDiv w:val="1"/>
      <w:marLeft w:val="0"/>
      <w:marRight w:val="0"/>
      <w:marTop w:val="0"/>
      <w:marBottom w:val="0"/>
      <w:divBdr>
        <w:top w:val="none" w:sz="0" w:space="0" w:color="auto"/>
        <w:left w:val="none" w:sz="0" w:space="0" w:color="auto"/>
        <w:bottom w:val="none" w:sz="0" w:space="0" w:color="auto"/>
        <w:right w:val="none" w:sz="0" w:space="0" w:color="auto"/>
      </w:divBdr>
    </w:div>
    <w:div w:id="1473253184">
      <w:bodyDiv w:val="1"/>
      <w:marLeft w:val="0"/>
      <w:marRight w:val="0"/>
      <w:marTop w:val="0"/>
      <w:marBottom w:val="0"/>
      <w:divBdr>
        <w:top w:val="none" w:sz="0" w:space="0" w:color="auto"/>
        <w:left w:val="none" w:sz="0" w:space="0" w:color="auto"/>
        <w:bottom w:val="none" w:sz="0" w:space="0" w:color="auto"/>
        <w:right w:val="none" w:sz="0" w:space="0" w:color="auto"/>
      </w:divBdr>
      <w:divsChild>
        <w:div w:id="605771694">
          <w:marLeft w:val="360"/>
          <w:marRight w:val="0"/>
          <w:marTop w:val="0"/>
          <w:marBottom w:val="0"/>
          <w:divBdr>
            <w:top w:val="none" w:sz="0" w:space="0" w:color="auto"/>
            <w:left w:val="none" w:sz="0" w:space="0" w:color="auto"/>
            <w:bottom w:val="none" w:sz="0" w:space="0" w:color="auto"/>
            <w:right w:val="none" w:sz="0" w:space="0" w:color="auto"/>
          </w:divBdr>
        </w:div>
      </w:divsChild>
    </w:div>
    <w:div w:id="1516966099">
      <w:bodyDiv w:val="1"/>
      <w:marLeft w:val="0"/>
      <w:marRight w:val="0"/>
      <w:marTop w:val="0"/>
      <w:marBottom w:val="0"/>
      <w:divBdr>
        <w:top w:val="none" w:sz="0" w:space="0" w:color="auto"/>
        <w:left w:val="none" w:sz="0" w:space="0" w:color="auto"/>
        <w:bottom w:val="none" w:sz="0" w:space="0" w:color="auto"/>
        <w:right w:val="none" w:sz="0" w:space="0" w:color="auto"/>
      </w:divBdr>
    </w:div>
    <w:div w:id="1522206584">
      <w:bodyDiv w:val="1"/>
      <w:marLeft w:val="0"/>
      <w:marRight w:val="0"/>
      <w:marTop w:val="0"/>
      <w:marBottom w:val="0"/>
      <w:divBdr>
        <w:top w:val="none" w:sz="0" w:space="0" w:color="auto"/>
        <w:left w:val="none" w:sz="0" w:space="0" w:color="auto"/>
        <w:bottom w:val="none" w:sz="0" w:space="0" w:color="auto"/>
        <w:right w:val="none" w:sz="0" w:space="0" w:color="auto"/>
      </w:divBdr>
    </w:div>
    <w:div w:id="1555509777">
      <w:bodyDiv w:val="1"/>
      <w:marLeft w:val="0"/>
      <w:marRight w:val="0"/>
      <w:marTop w:val="0"/>
      <w:marBottom w:val="0"/>
      <w:divBdr>
        <w:top w:val="none" w:sz="0" w:space="0" w:color="auto"/>
        <w:left w:val="none" w:sz="0" w:space="0" w:color="auto"/>
        <w:bottom w:val="none" w:sz="0" w:space="0" w:color="auto"/>
        <w:right w:val="none" w:sz="0" w:space="0" w:color="auto"/>
      </w:divBdr>
    </w:div>
    <w:div w:id="1729648172">
      <w:bodyDiv w:val="1"/>
      <w:marLeft w:val="0"/>
      <w:marRight w:val="0"/>
      <w:marTop w:val="0"/>
      <w:marBottom w:val="0"/>
      <w:divBdr>
        <w:top w:val="none" w:sz="0" w:space="0" w:color="auto"/>
        <w:left w:val="none" w:sz="0" w:space="0" w:color="auto"/>
        <w:bottom w:val="none" w:sz="0" w:space="0" w:color="auto"/>
        <w:right w:val="none" w:sz="0" w:space="0" w:color="auto"/>
      </w:divBdr>
    </w:div>
    <w:div w:id="1748530478">
      <w:bodyDiv w:val="1"/>
      <w:marLeft w:val="0"/>
      <w:marRight w:val="0"/>
      <w:marTop w:val="0"/>
      <w:marBottom w:val="0"/>
      <w:divBdr>
        <w:top w:val="none" w:sz="0" w:space="0" w:color="auto"/>
        <w:left w:val="none" w:sz="0" w:space="0" w:color="auto"/>
        <w:bottom w:val="none" w:sz="0" w:space="0" w:color="auto"/>
        <w:right w:val="none" w:sz="0" w:space="0" w:color="auto"/>
      </w:divBdr>
    </w:div>
    <w:div w:id="1759328146">
      <w:bodyDiv w:val="1"/>
      <w:marLeft w:val="0"/>
      <w:marRight w:val="0"/>
      <w:marTop w:val="0"/>
      <w:marBottom w:val="0"/>
      <w:divBdr>
        <w:top w:val="none" w:sz="0" w:space="0" w:color="auto"/>
        <w:left w:val="none" w:sz="0" w:space="0" w:color="auto"/>
        <w:bottom w:val="none" w:sz="0" w:space="0" w:color="auto"/>
        <w:right w:val="none" w:sz="0" w:space="0" w:color="auto"/>
      </w:divBdr>
    </w:div>
    <w:div w:id="1766533945">
      <w:bodyDiv w:val="1"/>
      <w:marLeft w:val="0"/>
      <w:marRight w:val="0"/>
      <w:marTop w:val="0"/>
      <w:marBottom w:val="0"/>
      <w:divBdr>
        <w:top w:val="none" w:sz="0" w:space="0" w:color="auto"/>
        <w:left w:val="none" w:sz="0" w:space="0" w:color="auto"/>
        <w:bottom w:val="none" w:sz="0" w:space="0" w:color="auto"/>
        <w:right w:val="none" w:sz="0" w:space="0" w:color="auto"/>
      </w:divBdr>
      <w:divsChild>
        <w:div w:id="1062219608">
          <w:marLeft w:val="0"/>
          <w:marRight w:val="0"/>
          <w:marTop w:val="0"/>
          <w:marBottom w:val="0"/>
          <w:divBdr>
            <w:top w:val="none" w:sz="0" w:space="0" w:color="auto"/>
            <w:left w:val="none" w:sz="0" w:space="0" w:color="auto"/>
            <w:bottom w:val="none" w:sz="0" w:space="0" w:color="auto"/>
            <w:right w:val="none" w:sz="0" w:space="0" w:color="auto"/>
          </w:divBdr>
        </w:div>
      </w:divsChild>
    </w:div>
    <w:div w:id="1797404228">
      <w:bodyDiv w:val="1"/>
      <w:marLeft w:val="0"/>
      <w:marRight w:val="0"/>
      <w:marTop w:val="0"/>
      <w:marBottom w:val="0"/>
      <w:divBdr>
        <w:top w:val="none" w:sz="0" w:space="0" w:color="auto"/>
        <w:left w:val="none" w:sz="0" w:space="0" w:color="auto"/>
        <w:bottom w:val="none" w:sz="0" w:space="0" w:color="auto"/>
        <w:right w:val="none" w:sz="0" w:space="0" w:color="auto"/>
      </w:divBdr>
      <w:divsChild>
        <w:div w:id="856190142">
          <w:marLeft w:val="360"/>
          <w:marRight w:val="0"/>
          <w:marTop w:val="0"/>
          <w:marBottom w:val="0"/>
          <w:divBdr>
            <w:top w:val="none" w:sz="0" w:space="0" w:color="auto"/>
            <w:left w:val="none" w:sz="0" w:space="0" w:color="auto"/>
            <w:bottom w:val="none" w:sz="0" w:space="0" w:color="auto"/>
            <w:right w:val="none" w:sz="0" w:space="0" w:color="auto"/>
          </w:divBdr>
        </w:div>
      </w:divsChild>
    </w:div>
    <w:div w:id="1867910982">
      <w:bodyDiv w:val="1"/>
      <w:marLeft w:val="0"/>
      <w:marRight w:val="0"/>
      <w:marTop w:val="0"/>
      <w:marBottom w:val="0"/>
      <w:divBdr>
        <w:top w:val="none" w:sz="0" w:space="0" w:color="auto"/>
        <w:left w:val="none" w:sz="0" w:space="0" w:color="auto"/>
        <w:bottom w:val="none" w:sz="0" w:space="0" w:color="auto"/>
        <w:right w:val="none" w:sz="0" w:space="0" w:color="auto"/>
      </w:divBdr>
    </w:div>
    <w:div w:id="1925339690">
      <w:bodyDiv w:val="1"/>
      <w:marLeft w:val="0"/>
      <w:marRight w:val="0"/>
      <w:marTop w:val="0"/>
      <w:marBottom w:val="0"/>
      <w:divBdr>
        <w:top w:val="none" w:sz="0" w:space="0" w:color="auto"/>
        <w:left w:val="none" w:sz="0" w:space="0" w:color="auto"/>
        <w:bottom w:val="none" w:sz="0" w:space="0" w:color="auto"/>
        <w:right w:val="none" w:sz="0" w:space="0" w:color="auto"/>
      </w:divBdr>
    </w:div>
    <w:div w:id="1937251322">
      <w:bodyDiv w:val="1"/>
      <w:marLeft w:val="0"/>
      <w:marRight w:val="0"/>
      <w:marTop w:val="0"/>
      <w:marBottom w:val="0"/>
      <w:divBdr>
        <w:top w:val="none" w:sz="0" w:space="0" w:color="auto"/>
        <w:left w:val="none" w:sz="0" w:space="0" w:color="auto"/>
        <w:bottom w:val="none" w:sz="0" w:space="0" w:color="auto"/>
        <w:right w:val="none" w:sz="0" w:space="0" w:color="auto"/>
      </w:divBdr>
    </w:div>
    <w:div w:id="2064985021">
      <w:bodyDiv w:val="1"/>
      <w:marLeft w:val="0"/>
      <w:marRight w:val="0"/>
      <w:marTop w:val="0"/>
      <w:marBottom w:val="0"/>
      <w:divBdr>
        <w:top w:val="none" w:sz="0" w:space="0" w:color="auto"/>
        <w:left w:val="none" w:sz="0" w:space="0" w:color="auto"/>
        <w:bottom w:val="none" w:sz="0" w:space="0" w:color="auto"/>
        <w:right w:val="none" w:sz="0" w:space="0" w:color="auto"/>
      </w:divBdr>
    </w:div>
    <w:div w:id="2092892989">
      <w:bodyDiv w:val="1"/>
      <w:marLeft w:val="0"/>
      <w:marRight w:val="0"/>
      <w:marTop w:val="0"/>
      <w:marBottom w:val="0"/>
      <w:divBdr>
        <w:top w:val="none" w:sz="0" w:space="0" w:color="auto"/>
        <w:left w:val="none" w:sz="0" w:space="0" w:color="auto"/>
        <w:bottom w:val="none" w:sz="0" w:space="0" w:color="auto"/>
        <w:right w:val="none" w:sz="0" w:space="0" w:color="auto"/>
      </w:divBdr>
      <w:divsChild>
        <w:div w:id="842862752">
          <w:marLeft w:val="360"/>
          <w:marRight w:val="0"/>
          <w:marTop w:val="0"/>
          <w:marBottom w:val="0"/>
          <w:divBdr>
            <w:top w:val="none" w:sz="0" w:space="0" w:color="auto"/>
            <w:left w:val="none" w:sz="0" w:space="0" w:color="auto"/>
            <w:bottom w:val="none" w:sz="0" w:space="0" w:color="auto"/>
            <w:right w:val="none" w:sz="0" w:space="0" w:color="auto"/>
          </w:divBdr>
        </w:div>
        <w:div w:id="1874028796">
          <w:marLeft w:val="360"/>
          <w:marRight w:val="0"/>
          <w:marTop w:val="0"/>
          <w:marBottom w:val="0"/>
          <w:divBdr>
            <w:top w:val="none" w:sz="0" w:space="0" w:color="auto"/>
            <w:left w:val="none" w:sz="0" w:space="0" w:color="auto"/>
            <w:bottom w:val="none" w:sz="0" w:space="0" w:color="auto"/>
            <w:right w:val="none" w:sz="0" w:space="0" w:color="auto"/>
          </w:divBdr>
        </w:div>
        <w:div w:id="189283781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rovider-Enrollment-and-Certification/SurveyCertEmergPrep/Emergency-Prep-Rul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chives.gov/federal_register/code_of_federal_regulations/ibr_location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691A8-8BD3-430A-962A-53CF229C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LaGrange</dc:creator>
  <cp:lastModifiedBy>Laura Richert</cp:lastModifiedBy>
  <cp:revision>5</cp:revision>
  <dcterms:created xsi:type="dcterms:W3CDTF">2017-10-12T20:34:00Z</dcterms:created>
  <dcterms:modified xsi:type="dcterms:W3CDTF">2017-10-18T18:15:00Z</dcterms:modified>
</cp:coreProperties>
</file>